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740CD" w14:textId="3EE6F5E5" w:rsidR="00EA7033" w:rsidRDefault="009D587A" w:rsidP="00EA4DE7">
      <w:pPr>
        <w:ind w:right="-426"/>
        <w:rPr>
          <w:b/>
          <w:sz w:val="28"/>
          <w:szCs w:val="28"/>
        </w:rPr>
      </w:pPr>
      <w:bookmarkStart w:id="0" w:name="_GoBack"/>
      <w:bookmarkEnd w:id="0"/>
      <w:r w:rsidRPr="00EA7033">
        <w:rPr>
          <w:b/>
          <w:noProof/>
          <w:sz w:val="28"/>
          <w:szCs w:val="28"/>
        </w:rPr>
        <w:drawing>
          <wp:anchor distT="0" distB="0" distL="114300" distR="114300" simplePos="0" relativeHeight="251659264" behindDoc="0" locked="0" layoutInCell="1" allowOverlap="1" wp14:anchorId="0B2BECCC" wp14:editId="7E282BEA">
            <wp:simplePos x="0" y="0"/>
            <wp:positionH relativeFrom="column">
              <wp:posOffset>1862455</wp:posOffset>
            </wp:positionH>
            <wp:positionV relativeFrom="paragraph">
              <wp:posOffset>147955</wp:posOffset>
            </wp:positionV>
            <wp:extent cx="866775" cy="496570"/>
            <wp:effectExtent l="0" t="0" r="9525" b="0"/>
            <wp:wrapThrough wrapText="bothSides">
              <wp:wrapPolygon edited="0">
                <wp:start x="0" y="0"/>
                <wp:lineTo x="0" y="20716"/>
                <wp:lineTo x="21363" y="20716"/>
                <wp:lineTo x="21363"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6775" cy="496570"/>
                    </a:xfrm>
                    <a:prstGeom prst="rect">
                      <a:avLst/>
                    </a:prstGeom>
                  </pic:spPr>
                </pic:pic>
              </a:graphicData>
            </a:graphic>
            <wp14:sizeRelH relativeFrom="page">
              <wp14:pctWidth>0</wp14:pctWidth>
            </wp14:sizeRelH>
            <wp14:sizeRelV relativeFrom="page">
              <wp14:pctHeight>0</wp14:pctHeight>
            </wp14:sizeRelV>
          </wp:anchor>
        </w:drawing>
      </w:r>
      <w:r w:rsidR="00815E8F" w:rsidRPr="00EA7033">
        <w:rPr>
          <w:b/>
          <w:noProof/>
          <w:sz w:val="28"/>
          <w:szCs w:val="28"/>
        </w:rPr>
        <w:drawing>
          <wp:anchor distT="0" distB="0" distL="114300" distR="114300" simplePos="0" relativeHeight="251658240" behindDoc="0" locked="0" layoutInCell="1" allowOverlap="1" wp14:anchorId="215F03C1" wp14:editId="1D27D596">
            <wp:simplePos x="0" y="0"/>
            <wp:positionH relativeFrom="margin">
              <wp:posOffset>1205230</wp:posOffset>
            </wp:positionH>
            <wp:positionV relativeFrom="paragraph">
              <wp:posOffset>120650</wp:posOffset>
            </wp:positionV>
            <wp:extent cx="581025" cy="533400"/>
            <wp:effectExtent l="0" t="0" r="9525" b="0"/>
            <wp:wrapThrough wrapText="bothSides">
              <wp:wrapPolygon edited="0">
                <wp:start x="0" y="0"/>
                <wp:lineTo x="0" y="20829"/>
                <wp:lineTo x="21246" y="20829"/>
                <wp:lineTo x="2124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025" cy="533400"/>
                    </a:xfrm>
                    <a:prstGeom prst="rect">
                      <a:avLst/>
                    </a:prstGeom>
                  </pic:spPr>
                </pic:pic>
              </a:graphicData>
            </a:graphic>
            <wp14:sizeRelH relativeFrom="page">
              <wp14:pctWidth>0</wp14:pctWidth>
            </wp14:sizeRelH>
            <wp14:sizeRelV relativeFrom="page">
              <wp14:pctHeight>0</wp14:pctHeight>
            </wp14:sizeRelV>
          </wp:anchor>
        </w:drawing>
      </w:r>
      <w:r w:rsidR="00CE60D4">
        <w:rPr>
          <w:b/>
          <w:noProof/>
          <w:sz w:val="32"/>
          <w:szCs w:val="32"/>
        </w:rPr>
        <w:t xml:space="preserve"> </w:t>
      </w:r>
      <w:r w:rsidR="001E0FC7">
        <w:rPr>
          <w:b/>
          <w:noProof/>
          <w:sz w:val="32"/>
          <w:szCs w:val="32"/>
        </w:rPr>
        <w:t xml:space="preserve"> </w:t>
      </w:r>
      <w:r w:rsidR="009479C9">
        <w:rPr>
          <w:b/>
          <w:noProof/>
          <w:sz w:val="32"/>
          <w:szCs w:val="32"/>
        </w:rPr>
        <w:drawing>
          <wp:inline distT="0" distB="0" distL="0" distR="0" wp14:anchorId="79C15010" wp14:editId="7FEC1A99">
            <wp:extent cx="971550" cy="6477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0174" cy="653449"/>
                    </a:xfrm>
                    <a:prstGeom prst="rect">
                      <a:avLst/>
                    </a:prstGeom>
                    <a:noFill/>
                  </pic:spPr>
                </pic:pic>
              </a:graphicData>
            </a:graphic>
          </wp:inline>
        </w:drawing>
      </w:r>
      <w:r w:rsidR="00EA7033" w:rsidRPr="00EA7033">
        <w:rPr>
          <w:b/>
          <w:noProof/>
          <w:sz w:val="28"/>
          <w:szCs w:val="28"/>
        </w:rPr>
        <w:drawing>
          <wp:inline distT="0" distB="0" distL="0" distR="0" wp14:anchorId="6B09AABB" wp14:editId="27208033">
            <wp:extent cx="1160003" cy="648237"/>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0003" cy="648237"/>
                    </a:xfrm>
                    <a:prstGeom prst="rect">
                      <a:avLst/>
                    </a:prstGeom>
                  </pic:spPr>
                </pic:pic>
              </a:graphicData>
            </a:graphic>
          </wp:inline>
        </w:drawing>
      </w:r>
      <w:r w:rsidR="00407DDA">
        <w:rPr>
          <w:b/>
          <w:noProof/>
          <w:sz w:val="32"/>
          <w:szCs w:val="32"/>
        </w:rPr>
        <w:t xml:space="preserve">  </w:t>
      </w:r>
      <w:r w:rsidR="009479C9">
        <w:rPr>
          <w:b/>
          <w:noProof/>
          <w:sz w:val="32"/>
          <w:szCs w:val="32"/>
        </w:rPr>
        <w:drawing>
          <wp:inline distT="0" distB="0" distL="0" distR="0" wp14:anchorId="77527A0A" wp14:editId="3220C5D9">
            <wp:extent cx="561906" cy="762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IEau2RVB.jpg"/>
                    <pic:cNvPicPr/>
                  </pic:nvPicPr>
                  <pic:blipFill>
                    <a:blip r:embed="rId11"/>
                    <a:stretch>
                      <a:fillRect/>
                    </a:stretch>
                  </pic:blipFill>
                  <pic:spPr>
                    <a:xfrm>
                      <a:off x="0" y="0"/>
                      <a:ext cx="577563" cy="783232"/>
                    </a:xfrm>
                    <a:prstGeom prst="rect">
                      <a:avLst/>
                    </a:prstGeom>
                  </pic:spPr>
                </pic:pic>
              </a:graphicData>
            </a:graphic>
          </wp:inline>
        </w:drawing>
      </w:r>
      <w:r w:rsidR="00CE60D4">
        <w:rPr>
          <w:b/>
          <w:noProof/>
          <w:sz w:val="32"/>
          <w:szCs w:val="32"/>
        </w:rPr>
        <w:t xml:space="preserve"> </w:t>
      </w:r>
      <w:r w:rsidR="00407DDA">
        <w:rPr>
          <w:b/>
          <w:noProof/>
          <w:sz w:val="32"/>
          <w:szCs w:val="32"/>
        </w:rPr>
        <w:t xml:space="preserve">  </w:t>
      </w:r>
      <w:r w:rsidR="006135BB">
        <w:rPr>
          <w:b/>
          <w:noProof/>
          <w:sz w:val="32"/>
          <w:szCs w:val="32"/>
        </w:rPr>
        <w:drawing>
          <wp:inline distT="0" distB="0" distL="0" distR="0" wp14:anchorId="7521E38D" wp14:editId="126ED7A7">
            <wp:extent cx="1114425" cy="522187"/>
            <wp:effectExtent l="0" t="0" r="0" b="0"/>
            <wp:docPr id="7" name="Image 7" descr="C:\Users\JGP\Desktop\ANNUAIRE GRAPHISME\S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P\Desktop\ANNUAIRE GRAPHISME\SH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647" cy="571022"/>
                    </a:xfrm>
                    <a:prstGeom prst="rect">
                      <a:avLst/>
                    </a:prstGeom>
                    <a:noFill/>
                    <a:ln>
                      <a:noFill/>
                    </a:ln>
                  </pic:spPr>
                </pic:pic>
              </a:graphicData>
            </a:graphic>
          </wp:inline>
        </w:drawing>
      </w:r>
    </w:p>
    <w:p w14:paraId="41D98C86" w14:textId="2650A917" w:rsidR="00CC2209" w:rsidRDefault="00CC2209" w:rsidP="00EA7033">
      <w:pPr>
        <w:jc w:val="center"/>
        <w:rPr>
          <w:b/>
          <w:sz w:val="32"/>
          <w:szCs w:val="32"/>
        </w:rPr>
      </w:pPr>
      <w:r w:rsidRPr="006701A8">
        <w:rPr>
          <w:b/>
          <w:sz w:val="32"/>
          <w:szCs w:val="32"/>
        </w:rPr>
        <w:t>Sécheresses, étiages et déficits en eau</w:t>
      </w:r>
    </w:p>
    <w:p w14:paraId="7F73A07B" w14:textId="4E99DBB9" w:rsidR="004A7C64" w:rsidRPr="004A7C64" w:rsidRDefault="004A7C64" w:rsidP="004A7C64">
      <w:pPr>
        <w:rPr>
          <w:b/>
          <w:color w:val="C00000"/>
          <w:sz w:val="24"/>
          <w:szCs w:val="24"/>
        </w:rPr>
      </w:pPr>
      <w:r w:rsidRPr="004A7C64">
        <w:rPr>
          <w:b/>
          <w:color w:val="C00000"/>
          <w:sz w:val="24"/>
          <w:szCs w:val="24"/>
        </w:rPr>
        <w:t xml:space="preserve">Attention : la date du colloque est susceptible d’être </w:t>
      </w:r>
      <w:r w:rsidR="00304479">
        <w:rPr>
          <w:b/>
          <w:color w:val="C00000"/>
          <w:sz w:val="24"/>
          <w:szCs w:val="24"/>
        </w:rPr>
        <w:t>légèrement modifiée en novembre</w:t>
      </w:r>
      <w:r w:rsidRPr="004A7C64">
        <w:rPr>
          <w:b/>
          <w:color w:val="C00000"/>
          <w:sz w:val="24"/>
          <w:szCs w:val="24"/>
        </w:rPr>
        <w:t xml:space="preserve"> 2019</w:t>
      </w:r>
    </w:p>
    <w:p w14:paraId="48D80B26" w14:textId="314D2B92" w:rsidR="00631DB6" w:rsidRPr="006701A8" w:rsidRDefault="00631DB6" w:rsidP="00EA7033">
      <w:pPr>
        <w:jc w:val="center"/>
        <w:rPr>
          <w:b/>
          <w:sz w:val="32"/>
          <w:szCs w:val="32"/>
        </w:rPr>
      </w:pPr>
      <w:r>
        <w:rPr>
          <w:b/>
          <w:sz w:val="32"/>
          <w:szCs w:val="32"/>
        </w:rPr>
        <w:t>Appel à communications</w:t>
      </w:r>
    </w:p>
    <w:p w14:paraId="01BE8587" w14:textId="0D7ED0B2" w:rsidR="00CC2209" w:rsidRDefault="00CC2209">
      <w:r>
        <w:t>Un col</w:t>
      </w:r>
      <w:r w:rsidR="00431E46">
        <w:t xml:space="preserve">loque international </w:t>
      </w:r>
      <w:r>
        <w:t>que l</w:t>
      </w:r>
      <w:r w:rsidR="006135BB">
        <w:t>’UNESCO et la</w:t>
      </w:r>
      <w:r>
        <w:t xml:space="preserve"> SHF organise</w:t>
      </w:r>
      <w:r w:rsidR="006135BB">
        <w:t>nt</w:t>
      </w:r>
      <w:r>
        <w:t xml:space="preserve"> dans le cadre du P</w:t>
      </w:r>
      <w:r w:rsidR="00BE71A8">
        <w:t xml:space="preserve">rogramme Hydrologique International </w:t>
      </w:r>
      <w:r w:rsidR="0008296A">
        <w:t xml:space="preserve">(PHI) </w:t>
      </w:r>
      <w:r w:rsidR="00BE71A8">
        <w:t>de l’UNESCO</w:t>
      </w:r>
      <w:r>
        <w:t xml:space="preserve"> et du P</w:t>
      </w:r>
      <w:r w:rsidR="00BE71A8">
        <w:t xml:space="preserve">artenariat Français pour l’Eau </w:t>
      </w:r>
      <w:r w:rsidR="00B757F8">
        <w:t>(</w:t>
      </w:r>
      <w:r w:rsidR="00BE71A8">
        <w:t>P</w:t>
      </w:r>
      <w:r>
        <w:t>FE</w:t>
      </w:r>
      <w:r w:rsidR="00B757F8">
        <w:t>)</w:t>
      </w:r>
      <w:r>
        <w:t xml:space="preserve"> sur </w:t>
      </w:r>
      <w:r w:rsidR="0008296A">
        <w:t>trois</w:t>
      </w:r>
      <w:r>
        <w:t xml:space="preserve"> jours au siège de l’UNESCO </w:t>
      </w:r>
      <w:r w:rsidR="003F7569">
        <w:t xml:space="preserve">à Paris </w:t>
      </w:r>
      <w:r w:rsidR="00431E46">
        <w:t>en</w:t>
      </w:r>
      <w:r w:rsidR="00F203AD">
        <w:t xml:space="preserve"> </w:t>
      </w:r>
      <w:r w:rsidR="00FD79F3">
        <w:t>novem</w:t>
      </w:r>
      <w:r w:rsidR="00F203AD">
        <w:t xml:space="preserve">bre </w:t>
      </w:r>
      <w:r>
        <w:t>2019.</w:t>
      </w:r>
      <w:r w:rsidR="00631DB6" w:rsidRPr="00631DB6">
        <w:t xml:space="preserve"> Dans les contextes climatiques et géographiques allant de l’Europe de l’Ouest, du pourtour méditerranéen jusqu’à l’Afrique de l’Ouest</w:t>
      </w:r>
      <w:r w:rsidR="00304479">
        <w:t>,</w:t>
      </w:r>
      <w:r w:rsidR="00631DB6">
        <w:t xml:space="preserve"> s</w:t>
      </w:r>
      <w:r w:rsidR="00631DB6" w:rsidRPr="00631DB6">
        <w:t>ituation actuelle et perspectives</w:t>
      </w:r>
      <w:r w:rsidR="0008296A">
        <w:t>.</w:t>
      </w:r>
    </w:p>
    <w:p w14:paraId="1D0399B4" w14:textId="77777777" w:rsidR="00631DB6" w:rsidRPr="0076454A" w:rsidRDefault="00631DB6" w:rsidP="00631DB6">
      <w:pPr>
        <w:rPr>
          <w:b/>
        </w:rPr>
      </w:pPr>
      <w:r>
        <w:rPr>
          <w:b/>
        </w:rPr>
        <w:t>Appel à communications</w:t>
      </w:r>
    </w:p>
    <w:p w14:paraId="2E2C6323" w14:textId="28208AD1" w:rsidR="00631DB6" w:rsidRDefault="00631DB6" w:rsidP="00631DB6">
      <w:pPr>
        <w:rPr>
          <w:b/>
        </w:rPr>
      </w:pPr>
      <w:r w:rsidRPr="0076454A">
        <w:rPr>
          <w:b/>
        </w:rPr>
        <w:t>Nous vous invitons à répondre à cet appel à communications en</w:t>
      </w:r>
      <w:r w:rsidR="004A7C64">
        <w:rPr>
          <w:b/>
        </w:rPr>
        <w:t xml:space="preserve"> envoyant</w:t>
      </w:r>
      <w:r w:rsidRPr="0076454A">
        <w:rPr>
          <w:b/>
        </w:rPr>
        <w:t xml:space="preserve"> votre résumé </w:t>
      </w:r>
      <w:r w:rsidR="004A7C64">
        <w:rPr>
          <w:b/>
        </w:rPr>
        <w:t>à l’adresse</w:t>
      </w:r>
      <w:r w:rsidRPr="0076454A">
        <w:rPr>
          <w:b/>
        </w:rPr>
        <w:t xml:space="preserve"> </w:t>
      </w:r>
      <w:r w:rsidR="0008296A">
        <w:rPr>
          <w:b/>
        </w:rPr>
        <w:t xml:space="preserve">de la </w:t>
      </w:r>
      <w:r w:rsidRPr="0076454A">
        <w:rPr>
          <w:b/>
        </w:rPr>
        <w:t>SHF</w:t>
      </w:r>
      <w:r>
        <w:rPr>
          <w:b/>
        </w:rPr>
        <w:t xml:space="preserve"> </w:t>
      </w:r>
      <w:r w:rsidR="00B70867">
        <w:rPr>
          <w:b/>
        </w:rPr>
        <w:t>(</w:t>
      </w:r>
      <w:r w:rsidRPr="0076454A">
        <w:rPr>
          <w:b/>
        </w:rPr>
        <w:t xml:space="preserve"> </w:t>
      </w:r>
      <w:hyperlink r:id="rId13" w:history="1">
        <w:r w:rsidR="00BE4400" w:rsidRPr="00886F0D">
          <w:rPr>
            <w:rStyle w:val="Lienhypertexte"/>
            <w:b/>
          </w:rPr>
          <w:t>secheresse@shf-hydro.or</w:t>
        </w:r>
      </w:hyperlink>
      <w:r w:rsidR="0008296A">
        <w:rPr>
          <w:rStyle w:val="Lienhypertexte"/>
          <w:b/>
        </w:rPr>
        <w:t>g</w:t>
      </w:r>
      <w:r w:rsidR="0008296A">
        <w:rPr>
          <w:b/>
        </w:rPr>
        <w:t xml:space="preserve"> </w:t>
      </w:r>
      <w:r w:rsidR="002D6B6E">
        <w:rPr>
          <w:b/>
        </w:rPr>
        <w:t xml:space="preserve">) </w:t>
      </w:r>
      <w:r w:rsidRPr="0076454A">
        <w:rPr>
          <w:b/>
        </w:rPr>
        <w:t xml:space="preserve">avant le </w:t>
      </w:r>
      <w:r w:rsidR="00304479" w:rsidRPr="00901884">
        <w:rPr>
          <w:b/>
          <w:u w:val="single"/>
        </w:rPr>
        <w:t>20</w:t>
      </w:r>
      <w:r w:rsidRPr="00901884">
        <w:rPr>
          <w:b/>
          <w:u w:val="single"/>
        </w:rPr>
        <w:t xml:space="preserve"> décembre 2018</w:t>
      </w:r>
      <w:r w:rsidRPr="0076454A">
        <w:rPr>
          <w:b/>
        </w:rPr>
        <w:t>. Ce résumé devra respecter le modèle disponible en ligne. L’ensemble des articles associés aux communications orales et aux posters sera disponible en début de colloque. Les articles seront relus avant validation finale. A l’issue du colloque, des articles seront sélectionnés pour être proposés à la revue La Houille Blanche, revue internationale de l’eau.</w:t>
      </w:r>
    </w:p>
    <w:p w14:paraId="05154C43" w14:textId="77777777" w:rsidR="00CC2209" w:rsidRPr="002D6B6E" w:rsidRDefault="00CC2209">
      <w:pPr>
        <w:rPr>
          <w:b/>
        </w:rPr>
      </w:pPr>
      <w:r w:rsidRPr="002D6B6E">
        <w:rPr>
          <w:b/>
        </w:rPr>
        <w:t>Des objectifs essentiels</w:t>
      </w:r>
    </w:p>
    <w:p w14:paraId="2DD43359" w14:textId="4C471631" w:rsidR="00DC30F8" w:rsidRPr="002D6B6E" w:rsidRDefault="0008296A" w:rsidP="006135BB">
      <w:pPr>
        <w:rPr>
          <w:sz w:val="18"/>
          <w:szCs w:val="18"/>
        </w:rPr>
      </w:pPr>
      <w:r w:rsidRPr="002D6B6E">
        <w:rPr>
          <w:sz w:val="18"/>
          <w:szCs w:val="18"/>
        </w:rPr>
        <w:t>Le colloque visera à présenter des méthodes pour c</w:t>
      </w:r>
      <w:r w:rsidR="00CC2209" w:rsidRPr="002D6B6E">
        <w:rPr>
          <w:sz w:val="18"/>
          <w:szCs w:val="18"/>
        </w:rPr>
        <w:t>aractéris</w:t>
      </w:r>
      <w:r w:rsidR="006135BB" w:rsidRPr="002D6B6E">
        <w:rPr>
          <w:sz w:val="18"/>
          <w:szCs w:val="18"/>
        </w:rPr>
        <w:t xml:space="preserve">er </w:t>
      </w:r>
      <w:r w:rsidR="00BE4400">
        <w:rPr>
          <w:sz w:val="18"/>
          <w:szCs w:val="18"/>
        </w:rPr>
        <w:t xml:space="preserve">et anticiper </w:t>
      </w:r>
      <w:r w:rsidR="006135BB" w:rsidRPr="002D6B6E">
        <w:rPr>
          <w:sz w:val="18"/>
          <w:szCs w:val="18"/>
        </w:rPr>
        <w:t>l</w:t>
      </w:r>
      <w:r w:rsidR="00CC2209" w:rsidRPr="002D6B6E">
        <w:rPr>
          <w:sz w:val="18"/>
          <w:szCs w:val="18"/>
        </w:rPr>
        <w:t xml:space="preserve">es étiages et </w:t>
      </w:r>
      <w:r w:rsidR="006135BB" w:rsidRPr="002D6B6E">
        <w:rPr>
          <w:sz w:val="18"/>
          <w:szCs w:val="18"/>
        </w:rPr>
        <w:t>l</w:t>
      </w:r>
      <w:r w:rsidR="00CC2209" w:rsidRPr="002D6B6E">
        <w:rPr>
          <w:sz w:val="18"/>
          <w:szCs w:val="18"/>
        </w:rPr>
        <w:t>es sécheresses</w:t>
      </w:r>
      <w:r w:rsidRPr="002D6B6E">
        <w:rPr>
          <w:sz w:val="18"/>
          <w:szCs w:val="18"/>
        </w:rPr>
        <w:t>, et à i</w:t>
      </w:r>
      <w:r w:rsidR="00CC2209" w:rsidRPr="002D6B6E">
        <w:rPr>
          <w:sz w:val="18"/>
          <w:szCs w:val="18"/>
        </w:rPr>
        <w:t>llustrer ces questions par des présentations de cas actuels dans des conditions climatiques contrastées. L’adaptation au changement climatique c’est l’eau et ce seront, bien évidemment, des écarts dramatiquement croissants entre ressources en</w:t>
      </w:r>
      <w:r w:rsidR="00396A01" w:rsidRPr="002D6B6E">
        <w:rPr>
          <w:sz w:val="18"/>
          <w:szCs w:val="18"/>
        </w:rPr>
        <w:t xml:space="preserve"> </w:t>
      </w:r>
      <w:r w:rsidR="00CC2209" w:rsidRPr="002D6B6E">
        <w:rPr>
          <w:sz w:val="18"/>
          <w:szCs w:val="18"/>
        </w:rPr>
        <w:t xml:space="preserve">eau et besoins avec des dynamiques diverses qu’il convient d’éclairer de façon scientifique. </w:t>
      </w:r>
      <w:r w:rsidRPr="002D6B6E">
        <w:rPr>
          <w:sz w:val="18"/>
          <w:szCs w:val="18"/>
        </w:rPr>
        <w:t>Il s’agira de p</w:t>
      </w:r>
      <w:r w:rsidR="00CC2209" w:rsidRPr="002D6B6E">
        <w:rPr>
          <w:sz w:val="18"/>
          <w:szCs w:val="18"/>
        </w:rPr>
        <w:t xml:space="preserve">résenter et </w:t>
      </w:r>
      <w:r w:rsidRPr="002D6B6E">
        <w:rPr>
          <w:sz w:val="18"/>
          <w:szCs w:val="18"/>
        </w:rPr>
        <w:t>d’</w:t>
      </w:r>
      <w:r w:rsidR="00CC2209" w:rsidRPr="002D6B6E">
        <w:rPr>
          <w:sz w:val="18"/>
          <w:szCs w:val="18"/>
        </w:rPr>
        <w:t>évaluer les outils à développer pour une connaissance fiable des scénarios d’évolution les plus probables</w:t>
      </w:r>
      <w:r w:rsidR="00D076FD" w:rsidRPr="002D6B6E">
        <w:rPr>
          <w:sz w:val="18"/>
          <w:szCs w:val="18"/>
        </w:rPr>
        <w:t>,</w:t>
      </w:r>
      <w:r w:rsidR="00CC2209" w:rsidRPr="002D6B6E">
        <w:rPr>
          <w:sz w:val="18"/>
          <w:szCs w:val="18"/>
        </w:rPr>
        <w:t xml:space="preserve"> </w:t>
      </w:r>
      <w:r w:rsidRPr="002D6B6E">
        <w:rPr>
          <w:sz w:val="18"/>
          <w:szCs w:val="18"/>
        </w:rPr>
        <w:t>d’</w:t>
      </w:r>
      <w:r w:rsidR="00CC2209" w:rsidRPr="002D6B6E">
        <w:rPr>
          <w:sz w:val="18"/>
          <w:szCs w:val="18"/>
        </w:rPr>
        <w:t xml:space="preserve">imaginer </w:t>
      </w:r>
      <w:r w:rsidR="00D076FD" w:rsidRPr="002D6B6E">
        <w:rPr>
          <w:sz w:val="18"/>
          <w:szCs w:val="18"/>
        </w:rPr>
        <w:t xml:space="preserve">et </w:t>
      </w:r>
      <w:r w:rsidRPr="002D6B6E">
        <w:rPr>
          <w:sz w:val="18"/>
          <w:szCs w:val="18"/>
        </w:rPr>
        <w:t xml:space="preserve">de </w:t>
      </w:r>
      <w:r w:rsidR="00D076FD" w:rsidRPr="002D6B6E">
        <w:rPr>
          <w:sz w:val="18"/>
          <w:szCs w:val="18"/>
        </w:rPr>
        <w:t xml:space="preserve">proposer </w:t>
      </w:r>
      <w:r w:rsidR="00CC2209" w:rsidRPr="002D6B6E">
        <w:rPr>
          <w:sz w:val="18"/>
          <w:szCs w:val="18"/>
        </w:rPr>
        <w:t>les moyens propres à se préparer à des changements profonds mais très contrastés.</w:t>
      </w:r>
    </w:p>
    <w:p w14:paraId="40C29A2D" w14:textId="77777777" w:rsidR="00117C80" w:rsidRPr="002D6B6E" w:rsidRDefault="00117C80" w:rsidP="007C532A">
      <w:pPr>
        <w:rPr>
          <w:b/>
        </w:rPr>
      </w:pPr>
      <w:r w:rsidRPr="002D6B6E">
        <w:rPr>
          <w:b/>
        </w:rPr>
        <w:t>Une grande région francophone</w:t>
      </w:r>
    </w:p>
    <w:p w14:paraId="44E23ECC" w14:textId="45D8DD2A" w:rsidR="00036169" w:rsidRPr="002D6B6E" w:rsidRDefault="00117C80" w:rsidP="007C532A">
      <w:pPr>
        <w:rPr>
          <w:sz w:val="18"/>
          <w:szCs w:val="18"/>
        </w:rPr>
      </w:pPr>
      <w:r w:rsidRPr="002D6B6E">
        <w:rPr>
          <w:sz w:val="18"/>
          <w:szCs w:val="18"/>
        </w:rPr>
        <w:t xml:space="preserve">La zone visée </w:t>
      </w:r>
      <w:r w:rsidR="003C4B2B" w:rsidRPr="002D6B6E">
        <w:rPr>
          <w:sz w:val="18"/>
          <w:szCs w:val="18"/>
        </w:rPr>
        <w:t xml:space="preserve">couvre l’Europe de l’Ouest, le pourtour méditerranéen avec une priorité au Maghreb et l’Afrique de l’Ouest de </w:t>
      </w:r>
      <w:r w:rsidR="0008296A" w:rsidRPr="002D6B6E">
        <w:rPr>
          <w:sz w:val="18"/>
          <w:szCs w:val="18"/>
        </w:rPr>
        <w:t>N’</w:t>
      </w:r>
      <w:r w:rsidR="003330B8" w:rsidRPr="002D6B6E">
        <w:rPr>
          <w:sz w:val="18"/>
          <w:szCs w:val="18"/>
        </w:rPr>
        <w:t>Djamena</w:t>
      </w:r>
      <w:r w:rsidR="003C4B2B" w:rsidRPr="002D6B6E">
        <w:rPr>
          <w:sz w:val="18"/>
          <w:szCs w:val="18"/>
        </w:rPr>
        <w:t xml:space="preserve"> à Dakar</w:t>
      </w:r>
      <w:r w:rsidR="0008296A" w:rsidRPr="002D6B6E">
        <w:rPr>
          <w:sz w:val="18"/>
          <w:szCs w:val="18"/>
        </w:rPr>
        <w:t>. C</w:t>
      </w:r>
      <w:r w:rsidR="003C4B2B" w:rsidRPr="002D6B6E">
        <w:rPr>
          <w:sz w:val="18"/>
          <w:szCs w:val="18"/>
        </w:rPr>
        <w:t xml:space="preserve">ette zone </w:t>
      </w:r>
      <w:r w:rsidRPr="002D6B6E">
        <w:rPr>
          <w:sz w:val="18"/>
          <w:szCs w:val="18"/>
        </w:rPr>
        <w:t xml:space="preserve">touche des pays essentiellement francophones, plus facilement mobilisables en cas de pratique d’une langue bien maîtrisée facilitant les échanges informels ; ce sont aussi des contextes dans lesquels l’ingénierie </w:t>
      </w:r>
      <w:r w:rsidR="003C4B2B" w:rsidRPr="002D6B6E">
        <w:rPr>
          <w:sz w:val="18"/>
          <w:szCs w:val="18"/>
        </w:rPr>
        <w:t xml:space="preserve">et les </w:t>
      </w:r>
      <w:r w:rsidRPr="002D6B6E">
        <w:rPr>
          <w:sz w:val="18"/>
          <w:szCs w:val="18"/>
        </w:rPr>
        <w:t>centres de recherche francophones sont particulièrement actifs.</w:t>
      </w:r>
      <w:r w:rsidR="00BE71A8" w:rsidRPr="002D6B6E">
        <w:rPr>
          <w:sz w:val="18"/>
          <w:szCs w:val="18"/>
        </w:rPr>
        <w:t xml:space="preserve"> Ce colloque s’inscrira dans les contributions à la mise en œuvre des Objectifs du Développement Durable (en particulier l’ODD6</w:t>
      </w:r>
      <w:r w:rsidR="0008296A" w:rsidRPr="002D6B6E">
        <w:rPr>
          <w:sz w:val="18"/>
          <w:szCs w:val="18"/>
        </w:rPr>
        <w:t> : garantir l’accès de tous à l’eau et à l’assainissement et assurer une gestion durable des ressources en eau</w:t>
      </w:r>
      <w:r w:rsidR="00BE71A8" w:rsidRPr="002D6B6E">
        <w:rPr>
          <w:sz w:val="18"/>
          <w:szCs w:val="18"/>
        </w:rPr>
        <w:t>) avec de multiples interfaces avec d’autres grands défis liés à l’alimentation, l’énergie, la santé ou la pauvreté.</w:t>
      </w:r>
    </w:p>
    <w:p w14:paraId="45FBF0FD" w14:textId="77777777" w:rsidR="00CC2209" w:rsidRPr="002D6B6E" w:rsidRDefault="00CC2209" w:rsidP="007C532A">
      <w:pPr>
        <w:rPr>
          <w:b/>
        </w:rPr>
      </w:pPr>
      <w:r w:rsidRPr="002D6B6E">
        <w:rPr>
          <w:b/>
        </w:rPr>
        <w:t>Les grands thèmes</w:t>
      </w:r>
    </w:p>
    <w:p w14:paraId="6D58F9D1" w14:textId="5E2B224D" w:rsidR="00CC2209" w:rsidRPr="002D6B6E" w:rsidRDefault="00CC2209" w:rsidP="007C532A">
      <w:pPr>
        <w:rPr>
          <w:sz w:val="18"/>
          <w:szCs w:val="18"/>
          <w:u w:val="single"/>
        </w:rPr>
      </w:pPr>
      <w:r w:rsidRPr="002D6B6E">
        <w:rPr>
          <w:sz w:val="18"/>
          <w:szCs w:val="18"/>
          <w:u w:val="single"/>
        </w:rPr>
        <w:t xml:space="preserve">1 La caractérisation des </w:t>
      </w:r>
      <w:r w:rsidR="00BE4400">
        <w:rPr>
          <w:sz w:val="18"/>
          <w:szCs w:val="18"/>
          <w:u w:val="single"/>
        </w:rPr>
        <w:t>sécheresses sous toutes leurs formes</w:t>
      </w:r>
    </w:p>
    <w:p w14:paraId="0F301D3B" w14:textId="2051D11B" w:rsidR="00CC2209" w:rsidRPr="002D6B6E" w:rsidRDefault="00CC2209" w:rsidP="007C532A">
      <w:pPr>
        <w:rPr>
          <w:sz w:val="18"/>
          <w:szCs w:val="18"/>
        </w:rPr>
      </w:pPr>
      <w:r w:rsidRPr="002D6B6E">
        <w:rPr>
          <w:sz w:val="18"/>
          <w:szCs w:val="18"/>
        </w:rPr>
        <w:t xml:space="preserve">Avec un accent sur </w:t>
      </w:r>
      <w:r w:rsidR="003C4B2B" w:rsidRPr="002D6B6E">
        <w:rPr>
          <w:sz w:val="18"/>
          <w:szCs w:val="18"/>
        </w:rPr>
        <w:t>les différents compartiments</w:t>
      </w:r>
      <w:r w:rsidRPr="002D6B6E">
        <w:rPr>
          <w:sz w:val="18"/>
          <w:szCs w:val="18"/>
        </w:rPr>
        <w:t xml:space="preserve"> du cycle de l’eau et </w:t>
      </w:r>
      <w:r w:rsidR="000A0653" w:rsidRPr="002D6B6E">
        <w:rPr>
          <w:sz w:val="18"/>
          <w:szCs w:val="18"/>
        </w:rPr>
        <w:t>l</w:t>
      </w:r>
      <w:r w:rsidRPr="002D6B6E">
        <w:rPr>
          <w:sz w:val="18"/>
          <w:szCs w:val="18"/>
        </w:rPr>
        <w:t>es formes de sécheresse à identifier : météorologiques et climatiques, hydrologiques</w:t>
      </w:r>
      <w:r w:rsidR="003C4B2B" w:rsidRPr="002D6B6E">
        <w:rPr>
          <w:sz w:val="18"/>
          <w:szCs w:val="18"/>
        </w:rPr>
        <w:t xml:space="preserve"> et hydrogéologiques</w:t>
      </w:r>
      <w:r w:rsidRPr="002D6B6E">
        <w:rPr>
          <w:sz w:val="18"/>
          <w:szCs w:val="18"/>
        </w:rPr>
        <w:t xml:space="preserve"> (</w:t>
      </w:r>
      <w:r w:rsidR="003C4B2B" w:rsidRPr="002D6B6E">
        <w:rPr>
          <w:sz w:val="18"/>
          <w:szCs w:val="18"/>
        </w:rPr>
        <w:t xml:space="preserve">y compris les relations </w:t>
      </w:r>
      <w:r w:rsidRPr="002D6B6E">
        <w:rPr>
          <w:sz w:val="18"/>
          <w:szCs w:val="18"/>
        </w:rPr>
        <w:t>surface et aquifères), pédologiques pour les sols</w:t>
      </w:r>
      <w:r w:rsidR="00DD3773" w:rsidRPr="002D6B6E">
        <w:rPr>
          <w:sz w:val="18"/>
          <w:szCs w:val="18"/>
        </w:rPr>
        <w:t>. Mesure et perception de ces phénomènes.</w:t>
      </w:r>
      <w:r w:rsidR="00E8326F" w:rsidRPr="002D6B6E">
        <w:rPr>
          <w:sz w:val="18"/>
          <w:szCs w:val="18"/>
        </w:rPr>
        <w:t xml:space="preserve"> Rappelons que les situations de pénurie d’eau sont visées prioritairement, à savoir les situations dans lesquelles les ressources en eau sont temporairement ou structurellement insuffisantes pour faire face à des demandes croissantes.</w:t>
      </w:r>
      <w:r w:rsidR="00FB720F" w:rsidRPr="002D6B6E">
        <w:rPr>
          <w:sz w:val="18"/>
          <w:szCs w:val="18"/>
        </w:rPr>
        <w:t xml:space="preserve"> Les milieux visés sont les rivières, les lacs et les réservoirs, les aquifères et les sols sup</w:t>
      </w:r>
      <w:r w:rsidR="004C2D67" w:rsidRPr="002D6B6E">
        <w:rPr>
          <w:sz w:val="18"/>
          <w:szCs w:val="18"/>
        </w:rPr>
        <w:t>e</w:t>
      </w:r>
      <w:r w:rsidR="00FB720F" w:rsidRPr="002D6B6E">
        <w:rPr>
          <w:sz w:val="18"/>
          <w:szCs w:val="18"/>
        </w:rPr>
        <w:t>rficiels.</w:t>
      </w:r>
      <w:r w:rsidR="006D0990" w:rsidRPr="002D6B6E">
        <w:rPr>
          <w:sz w:val="18"/>
          <w:szCs w:val="18"/>
        </w:rPr>
        <w:t xml:space="preserve"> </w:t>
      </w:r>
      <w:r w:rsidRPr="002D6B6E">
        <w:rPr>
          <w:sz w:val="18"/>
          <w:szCs w:val="18"/>
        </w:rPr>
        <w:t>Il s’agirait de montrer, à travers des études de cas</w:t>
      </w:r>
      <w:r w:rsidR="00D076FD" w:rsidRPr="002D6B6E">
        <w:rPr>
          <w:sz w:val="18"/>
          <w:szCs w:val="18"/>
        </w:rPr>
        <w:t xml:space="preserve"> </w:t>
      </w:r>
      <w:r w:rsidR="004C2D67" w:rsidRPr="002D6B6E">
        <w:rPr>
          <w:sz w:val="18"/>
          <w:szCs w:val="18"/>
        </w:rPr>
        <w:t xml:space="preserve">pris dans des territoires en difficultés </w:t>
      </w:r>
      <w:r w:rsidR="00D076FD" w:rsidRPr="002D6B6E">
        <w:rPr>
          <w:sz w:val="18"/>
          <w:szCs w:val="18"/>
        </w:rPr>
        <w:t>situés dans les trois grandes sous-régions visées</w:t>
      </w:r>
      <w:r w:rsidRPr="002D6B6E">
        <w:rPr>
          <w:sz w:val="18"/>
          <w:szCs w:val="18"/>
        </w:rPr>
        <w:t xml:space="preserve">, la réalité de la </w:t>
      </w:r>
      <w:r w:rsidRPr="002D6B6E">
        <w:rPr>
          <w:sz w:val="18"/>
          <w:szCs w:val="18"/>
        </w:rPr>
        <w:lastRenderedPageBreak/>
        <w:t>sécheresse à partir de données mesurées</w:t>
      </w:r>
      <w:r w:rsidR="00E515A2">
        <w:rPr>
          <w:sz w:val="18"/>
          <w:szCs w:val="18"/>
        </w:rPr>
        <w:t>, d’une hydraulicité reconstituée</w:t>
      </w:r>
      <w:r w:rsidRPr="002D6B6E">
        <w:rPr>
          <w:sz w:val="18"/>
          <w:szCs w:val="18"/>
        </w:rPr>
        <w:t xml:space="preserve"> ou de modèles forcés dans les conditions régnant actuellement</w:t>
      </w:r>
      <w:r w:rsidR="00396A01" w:rsidRPr="002D6B6E">
        <w:rPr>
          <w:sz w:val="18"/>
          <w:szCs w:val="18"/>
        </w:rPr>
        <w:t>.</w:t>
      </w:r>
    </w:p>
    <w:p w14:paraId="6EDF85F3" w14:textId="37CFCF45" w:rsidR="00CC2209" w:rsidRPr="002D6B6E" w:rsidRDefault="004C2D67" w:rsidP="007C532A">
      <w:pPr>
        <w:rPr>
          <w:sz w:val="18"/>
          <w:szCs w:val="18"/>
          <w:u w:val="single"/>
        </w:rPr>
      </w:pPr>
      <w:r w:rsidRPr="002D6B6E">
        <w:rPr>
          <w:sz w:val="18"/>
          <w:szCs w:val="18"/>
          <w:u w:val="single"/>
        </w:rPr>
        <w:t>2</w:t>
      </w:r>
      <w:r w:rsidR="00CC2209" w:rsidRPr="002D6B6E">
        <w:rPr>
          <w:sz w:val="18"/>
          <w:szCs w:val="18"/>
          <w:u w:val="single"/>
        </w:rPr>
        <w:t xml:space="preserve"> </w:t>
      </w:r>
      <w:r w:rsidR="00BE4400">
        <w:rPr>
          <w:sz w:val="18"/>
          <w:szCs w:val="18"/>
          <w:u w:val="single"/>
        </w:rPr>
        <w:t xml:space="preserve">Modélisation </w:t>
      </w:r>
      <w:r w:rsidR="00CC2209" w:rsidRPr="002D6B6E">
        <w:rPr>
          <w:sz w:val="18"/>
          <w:szCs w:val="18"/>
          <w:u w:val="single"/>
        </w:rPr>
        <w:t>hydro</w:t>
      </w:r>
      <w:r w:rsidR="0008296A" w:rsidRPr="002D6B6E">
        <w:rPr>
          <w:sz w:val="18"/>
          <w:szCs w:val="18"/>
          <w:u w:val="single"/>
        </w:rPr>
        <w:t>-</w:t>
      </w:r>
      <w:r w:rsidR="00CC2209" w:rsidRPr="002D6B6E">
        <w:rPr>
          <w:sz w:val="18"/>
          <w:szCs w:val="18"/>
          <w:u w:val="single"/>
        </w:rPr>
        <w:t>climatique</w:t>
      </w:r>
      <w:r w:rsidR="00BE4400">
        <w:rPr>
          <w:sz w:val="18"/>
          <w:szCs w:val="18"/>
          <w:u w:val="single"/>
        </w:rPr>
        <w:t xml:space="preserve">, prévision des sécheresses </w:t>
      </w:r>
      <w:r w:rsidRPr="002D6B6E">
        <w:rPr>
          <w:sz w:val="18"/>
          <w:szCs w:val="18"/>
          <w:u w:val="single"/>
        </w:rPr>
        <w:t>et systèmes d’information sur l’eau</w:t>
      </w:r>
    </w:p>
    <w:p w14:paraId="1F1D73D4" w14:textId="4923E82E" w:rsidR="00CC2209" w:rsidRPr="002D6B6E" w:rsidRDefault="00CC2209" w:rsidP="007C532A">
      <w:pPr>
        <w:rPr>
          <w:sz w:val="18"/>
          <w:szCs w:val="18"/>
        </w:rPr>
      </w:pPr>
      <w:r w:rsidRPr="002D6B6E">
        <w:rPr>
          <w:sz w:val="18"/>
          <w:szCs w:val="18"/>
        </w:rPr>
        <w:t xml:space="preserve">On se place clairement dans le cadre </w:t>
      </w:r>
      <w:r w:rsidR="00BE4400">
        <w:rPr>
          <w:sz w:val="18"/>
          <w:szCs w:val="18"/>
        </w:rPr>
        <w:t xml:space="preserve">des effets </w:t>
      </w:r>
      <w:r w:rsidRPr="002D6B6E">
        <w:rPr>
          <w:sz w:val="18"/>
          <w:szCs w:val="18"/>
        </w:rPr>
        <w:t>du changement climatique</w:t>
      </w:r>
      <w:r w:rsidR="00646531">
        <w:rPr>
          <w:sz w:val="18"/>
          <w:szCs w:val="18"/>
        </w:rPr>
        <w:t xml:space="preserve"> sur les différentes composantes de la ressource en eau</w:t>
      </w:r>
      <w:r w:rsidRPr="002D6B6E">
        <w:rPr>
          <w:sz w:val="18"/>
          <w:szCs w:val="18"/>
        </w:rPr>
        <w:t>. On part des grands modèles retenus par le GIEC </w:t>
      </w:r>
      <w:r w:rsidR="00646531">
        <w:rPr>
          <w:sz w:val="18"/>
          <w:szCs w:val="18"/>
        </w:rPr>
        <w:t xml:space="preserve">et des différents scénarii </w:t>
      </w:r>
      <w:r w:rsidRPr="002D6B6E">
        <w:rPr>
          <w:sz w:val="18"/>
          <w:szCs w:val="18"/>
        </w:rPr>
        <w:t xml:space="preserve">; on effectue des descentes d’échelles selon des procédures parfois sophistiquées et on débouche sur la caractérisation « eau » du </w:t>
      </w:r>
      <w:r w:rsidR="00AA453E" w:rsidRPr="002D6B6E">
        <w:rPr>
          <w:sz w:val="18"/>
          <w:szCs w:val="18"/>
        </w:rPr>
        <w:t>changement climatique</w:t>
      </w:r>
      <w:r w:rsidRPr="002D6B6E">
        <w:rPr>
          <w:sz w:val="18"/>
          <w:szCs w:val="18"/>
        </w:rPr>
        <w:t xml:space="preserve"> dans ses composantes pluies, débits des rivières, </w:t>
      </w:r>
      <w:r w:rsidR="00D076FD" w:rsidRPr="002D6B6E">
        <w:rPr>
          <w:sz w:val="18"/>
          <w:szCs w:val="18"/>
        </w:rPr>
        <w:t xml:space="preserve">baisse de niveau et </w:t>
      </w:r>
      <w:r w:rsidRPr="002D6B6E">
        <w:rPr>
          <w:sz w:val="18"/>
          <w:szCs w:val="18"/>
        </w:rPr>
        <w:t xml:space="preserve">recharge des nappes et interception par </w:t>
      </w:r>
      <w:r w:rsidR="00902A4D" w:rsidRPr="002D6B6E">
        <w:rPr>
          <w:sz w:val="18"/>
          <w:szCs w:val="18"/>
        </w:rPr>
        <w:t>évapotranspiration.</w:t>
      </w:r>
      <w:r w:rsidRPr="002D6B6E">
        <w:rPr>
          <w:sz w:val="18"/>
          <w:szCs w:val="18"/>
        </w:rPr>
        <w:t xml:space="preserve"> Les évolutions en moyennes interannuelles, saisonnières ou mensuelles constituent une première étape</w:t>
      </w:r>
      <w:r w:rsidR="00AA453E" w:rsidRPr="002D6B6E">
        <w:rPr>
          <w:sz w:val="18"/>
          <w:szCs w:val="18"/>
        </w:rPr>
        <w:t>. I</w:t>
      </w:r>
      <w:r w:rsidRPr="002D6B6E">
        <w:rPr>
          <w:sz w:val="18"/>
          <w:szCs w:val="18"/>
        </w:rPr>
        <w:t>l est indispensable de qualifier les variabilités</w:t>
      </w:r>
      <w:r w:rsidR="00E515A2">
        <w:rPr>
          <w:sz w:val="18"/>
          <w:szCs w:val="18"/>
        </w:rPr>
        <w:t xml:space="preserve">, </w:t>
      </w:r>
      <w:r w:rsidRPr="002D6B6E">
        <w:rPr>
          <w:sz w:val="18"/>
          <w:szCs w:val="18"/>
        </w:rPr>
        <w:t xml:space="preserve">les instabilités </w:t>
      </w:r>
      <w:r w:rsidR="00E515A2">
        <w:rPr>
          <w:sz w:val="18"/>
          <w:szCs w:val="18"/>
        </w:rPr>
        <w:t>et les irréversibilités, éventuellement</w:t>
      </w:r>
      <w:r w:rsidRPr="002D6B6E">
        <w:rPr>
          <w:sz w:val="18"/>
          <w:szCs w:val="18"/>
        </w:rPr>
        <w:t xml:space="preserve"> exacerbées à l’horizon 2100.</w:t>
      </w:r>
      <w:r w:rsidR="004C2D67" w:rsidRPr="002D6B6E">
        <w:rPr>
          <w:sz w:val="18"/>
          <w:szCs w:val="18"/>
        </w:rPr>
        <w:t xml:space="preserve"> On part de l’observation sur le terrain, la mesure en météorologie et l’hydrométrie, les technologies les plus adaptées, les bases de données, les traitements de ces données et les indicateurs les plus pertinent</w:t>
      </w:r>
      <w:r w:rsidR="00AA453E" w:rsidRPr="002D6B6E">
        <w:rPr>
          <w:sz w:val="18"/>
          <w:szCs w:val="18"/>
        </w:rPr>
        <w:t>s</w:t>
      </w:r>
      <w:r w:rsidR="004C2D67" w:rsidRPr="002D6B6E">
        <w:rPr>
          <w:sz w:val="18"/>
          <w:szCs w:val="18"/>
        </w:rPr>
        <w:t xml:space="preserve">. </w:t>
      </w:r>
      <w:r w:rsidR="00646531">
        <w:rPr>
          <w:sz w:val="18"/>
          <w:szCs w:val="18"/>
        </w:rPr>
        <w:t>La présentation des outils opérationnels permettant d’anticiper les situations de crise aux échéances mensuelles à saisonnières est aussi attendue.</w:t>
      </w:r>
    </w:p>
    <w:p w14:paraId="47F15F09" w14:textId="42602176" w:rsidR="00CC2209" w:rsidRPr="002D6B6E" w:rsidRDefault="004C2D67" w:rsidP="007C532A">
      <w:pPr>
        <w:rPr>
          <w:sz w:val="18"/>
          <w:szCs w:val="18"/>
          <w:u w:val="single"/>
        </w:rPr>
      </w:pPr>
      <w:r w:rsidRPr="002D6B6E">
        <w:rPr>
          <w:sz w:val="18"/>
          <w:szCs w:val="18"/>
          <w:u w:val="single"/>
        </w:rPr>
        <w:t>3</w:t>
      </w:r>
      <w:r w:rsidR="00CC2209" w:rsidRPr="002D6B6E">
        <w:rPr>
          <w:sz w:val="18"/>
          <w:szCs w:val="18"/>
          <w:u w:val="single"/>
        </w:rPr>
        <w:t xml:space="preserve"> Changements globaux, y compris </w:t>
      </w:r>
      <w:r w:rsidR="00BE4400">
        <w:rPr>
          <w:sz w:val="18"/>
          <w:szCs w:val="18"/>
          <w:u w:val="single"/>
        </w:rPr>
        <w:t>ressources et</w:t>
      </w:r>
      <w:r w:rsidR="00CC2209" w:rsidRPr="002D6B6E">
        <w:rPr>
          <w:sz w:val="18"/>
          <w:szCs w:val="18"/>
          <w:u w:val="single"/>
        </w:rPr>
        <w:t xml:space="preserve"> usages de l’eau</w:t>
      </w:r>
      <w:r w:rsidR="00036169" w:rsidRPr="002D6B6E">
        <w:rPr>
          <w:sz w:val="18"/>
          <w:szCs w:val="18"/>
          <w:u w:val="single"/>
        </w:rPr>
        <w:t xml:space="preserve">, conséquences </w:t>
      </w:r>
      <w:r w:rsidR="00BE4400">
        <w:rPr>
          <w:sz w:val="18"/>
          <w:szCs w:val="18"/>
          <w:u w:val="single"/>
        </w:rPr>
        <w:t xml:space="preserve">environnementales </w:t>
      </w:r>
      <w:r w:rsidR="00036169" w:rsidRPr="002D6B6E">
        <w:rPr>
          <w:sz w:val="18"/>
          <w:szCs w:val="18"/>
          <w:u w:val="single"/>
        </w:rPr>
        <w:t>sociales et économiques</w:t>
      </w:r>
    </w:p>
    <w:p w14:paraId="1CED90C6" w14:textId="0676A013" w:rsidR="00902A4D" w:rsidRPr="002D6B6E" w:rsidRDefault="00CC2209" w:rsidP="007C532A">
      <w:pPr>
        <w:rPr>
          <w:sz w:val="18"/>
          <w:szCs w:val="18"/>
        </w:rPr>
      </w:pPr>
      <w:r w:rsidRPr="002D6B6E">
        <w:rPr>
          <w:sz w:val="18"/>
          <w:szCs w:val="18"/>
        </w:rPr>
        <w:t>On revient à des exercices de prospective avec l’</w:t>
      </w:r>
      <w:r w:rsidR="006D78A4">
        <w:rPr>
          <w:sz w:val="18"/>
          <w:szCs w:val="18"/>
        </w:rPr>
        <w:t xml:space="preserve">objectif </w:t>
      </w:r>
      <w:r w:rsidRPr="002D6B6E">
        <w:rPr>
          <w:sz w:val="18"/>
          <w:szCs w:val="18"/>
        </w:rPr>
        <w:t xml:space="preserve">de </w:t>
      </w:r>
      <w:r w:rsidR="006D78A4">
        <w:rPr>
          <w:sz w:val="18"/>
          <w:szCs w:val="18"/>
        </w:rPr>
        <w:t>mettre en évidence les secteurs où</w:t>
      </w:r>
      <w:r w:rsidRPr="002D6B6E">
        <w:rPr>
          <w:sz w:val="18"/>
          <w:szCs w:val="18"/>
        </w:rPr>
        <w:t xml:space="preserve"> des ruptures ou seulement des inflexions ou des excès</w:t>
      </w:r>
      <w:r w:rsidR="006D78A4">
        <w:rPr>
          <w:sz w:val="18"/>
          <w:szCs w:val="18"/>
        </w:rPr>
        <w:t xml:space="preserve"> pourraient</w:t>
      </w:r>
      <w:r w:rsidRPr="002D6B6E">
        <w:rPr>
          <w:sz w:val="18"/>
          <w:szCs w:val="18"/>
        </w:rPr>
        <w:t xml:space="preserve"> condui</w:t>
      </w:r>
      <w:r w:rsidR="006D78A4">
        <w:rPr>
          <w:sz w:val="18"/>
          <w:szCs w:val="18"/>
        </w:rPr>
        <w:t>re</w:t>
      </w:r>
      <w:r w:rsidRPr="002D6B6E">
        <w:rPr>
          <w:sz w:val="18"/>
          <w:szCs w:val="18"/>
        </w:rPr>
        <w:t xml:space="preserve"> à des écarts </w:t>
      </w:r>
      <w:r w:rsidR="006D78A4">
        <w:rPr>
          <w:sz w:val="18"/>
          <w:szCs w:val="18"/>
        </w:rPr>
        <w:t xml:space="preserve">critiques </w:t>
      </w:r>
      <w:r w:rsidRPr="002D6B6E">
        <w:rPr>
          <w:sz w:val="18"/>
          <w:szCs w:val="18"/>
        </w:rPr>
        <w:t xml:space="preserve">entre </w:t>
      </w:r>
      <w:r w:rsidR="00D076FD" w:rsidRPr="002D6B6E">
        <w:rPr>
          <w:sz w:val="18"/>
          <w:szCs w:val="18"/>
        </w:rPr>
        <w:t>besoins</w:t>
      </w:r>
      <w:r w:rsidRPr="002D6B6E">
        <w:rPr>
          <w:sz w:val="18"/>
          <w:szCs w:val="18"/>
        </w:rPr>
        <w:t xml:space="preserve"> et resso</w:t>
      </w:r>
      <w:r w:rsidR="006D78A4">
        <w:rPr>
          <w:sz w:val="18"/>
          <w:szCs w:val="18"/>
        </w:rPr>
        <w:t>urces</w:t>
      </w:r>
      <w:r w:rsidRPr="002D6B6E">
        <w:rPr>
          <w:sz w:val="18"/>
          <w:szCs w:val="18"/>
        </w:rPr>
        <w:t>.</w:t>
      </w:r>
      <w:r w:rsidR="00787575" w:rsidRPr="002D6B6E">
        <w:rPr>
          <w:sz w:val="18"/>
          <w:szCs w:val="18"/>
        </w:rPr>
        <w:t xml:space="preserve"> </w:t>
      </w:r>
      <w:r w:rsidR="00902A4D" w:rsidRPr="002D6B6E">
        <w:rPr>
          <w:sz w:val="18"/>
          <w:szCs w:val="18"/>
        </w:rPr>
        <w:t>Il s’agit d’abord de quantifier ces écarts</w:t>
      </w:r>
      <w:r w:rsidR="006D78A4">
        <w:rPr>
          <w:sz w:val="18"/>
          <w:szCs w:val="18"/>
        </w:rPr>
        <w:t>, qui pourront être absolument considérables ou peu marqués selon les régions mais aussi selon les scénarios. D</w:t>
      </w:r>
      <w:r w:rsidR="00C6001D" w:rsidRPr="002D6B6E">
        <w:rPr>
          <w:sz w:val="18"/>
          <w:szCs w:val="18"/>
        </w:rPr>
        <w:t>es communications sont attendues sur les évolutions qualitatives et les conséquences ou impacts prévisibles de ces changements</w:t>
      </w:r>
      <w:r w:rsidR="00FB2BD1" w:rsidRPr="002D6B6E">
        <w:rPr>
          <w:sz w:val="18"/>
          <w:szCs w:val="18"/>
        </w:rPr>
        <w:t xml:space="preserve"> sur l’alimentation, la santé, l’énergie et la biodiversité</w:t>
      </w:r>
      <w:r w:rsidR="00C6001D" w:rsidRPr="002D6B6E">
        <w:rPr>
          <w:sz w:val="18"/>
          <w:szCs w:val="18"/>
        </w:rPr>
        <w:t xml:space="preserve">. Ces impacts sont économiques, </w:t>
      </w:r>
      <w:r w:rsidR="00FB2BD1" w:rsidRPr="002D6B6E">
        <w:rPr>
          <w:sz w:val="18"/>
          <w:szCs w:val="18"/>
        </w:rPr>
        <w:t>sociétaux et environnementaux ; ils</w:t>
      </w:r>
      <w:r w:rsidR="00036169" w:rsidRPr="002D6B6E">
        <w:rPr>
          <w:sz w:val="18"/>
          <w:szCs w:val="18"/>
        </w:rPr>
        <w:t xml:space="preserve"> sont abordés </w:t>
      </w:r>
      <w:r w:rsidR="00FB033C" w:rsidRPr="002D6B6E">
        <w:rPr>
          <w:sz w:val="18"/>
          <w:szCs w:val="18"/>
        </w:rPr>
        <w:t xml:space="preserve">selon des approches multidisciplinaires et </w:t>
      </w:r>
      <w:r w:rsidR="00C6001D" w:rsidRPr="002D6B6E">
        <w:rPr>
          <w:sz w:val="18"/>
          <w:szCs w:val="18"/>
        </w:rPr>
        <w:t xml:space="preserve">la contribution des sciences humaines et sociales est </w:t>
      </w:r>
      <w:r w:rsidR="00FB033C" w:rsidRPr="002D6B6E">
        <w:rPr>
          <w:sz w:val="18"/>
          <w:szCs w:val="18"/>
        </w:rPr>
        <w:t>aus</w:t>
      </w:r>
      <w:r w:rsidR="00C6001D" w:rsidRPr="002D6B6E">
        <w:rPr>
          <w:sz w:val="18"/>
          <w:szCs w:val="18"/>
        </w:rPr>
        <w:t>si attendue.</w:t>
      </w:r>
      <w:r w:rsidR="00FF5C68" w:rsidRPr="002D6B6E">
        <w:rPr>
          <w:sz w:val="18"/>
          <w:szCs w:val="18"/>
        </w:rPr>
        <w:t xml:space="preserve"> Les impacts sur l’agriculture et sur les grandes villes seront traités en priorité.</w:t>
      </w:r>
      <w:r w:rsidR="0053667B" w:rsidRPr="002D6B6E">
        <w:rPr>
          <w:sz w:val="18"/>
          <w:szCs w:val="18"/>
        </w:rPr>
        <w:t xml:space="preserve"> </w:t>
      </w:r>
      <w:r w:rsidR="00FF5C68" w:rsidRPr="002D6B6E">
        <w:rPr>
          <w:sz w:val="18"/>
          <w:szCs w:val="18"/>
        </w:rPr>
        <w:t xml:space="preserve">Dans ce cadre, il </w:t>
      </w:r>
      <w:r w:rsidR="00304479">
        <w:rPr>
          <w:sz w:val="18"/>
          <w:szCs w:val="18"/>
        </w:rPr>
        <w:t>n’</w:t>
      </w:r>
      <w:r w:rsidR="00FF5C68" w:rsidRPr="002D6B6E">
        <w:rPr>
          <w:sz w:val="18"/>
          <w:szCs w:val="18"/>
        </w:rPr>
        <w:t xml:space="preserve">est </w:t>
      </w:r>
      <w:r w:rsidR="00304479">
        <w:rPr>
          <w:sz w:val="18"/>
          <w:szCs w:val="18"/>
        </w:rPr>
        <w:t xml:space="preserve">plus </w:t>
      </w:r>
      <w:r w:rsidR="00FF5C68" w:rsidRPr="002D6B6E">
        <w:rPr>
          <w:sz w:val="18"/>
          <w:szCs w:val="18"/>
        </w:rPr>
        <w:t>proposé d’assurer la liaison avec la seconde conférence internationale sur « Eaux, mégapoles et changements globaux » qui sera organisé</w:t>
      </w:r>
      <w:r w:rsidR="00AA453E" w:rsidRPr="002D6B6E">
        <w:rPr>
          <w:sz w:val="18"/>
          <w:szCs w:val="18"/>
        </w:rPr>
        <w:t>e</w:t>
      </w:r>
      <w:r w:rsidR="00FF5C68" w:rsidRPr="002D6B6E">
        <w:rPr>
          <w:sz w:val="18"/>
          <w:szCs w:val="18"/>
        </w:rPr>
        <w:t xml:space="preserve"> </w:t>
      </w:r>
      <w:r w:rsidR="00304479">
        <w:rPr>
          <w:sz w:val="18"/>
          <w:szCs w:val="18"/>
        </w:rPr>
        <w:t>en 2020</w:t>
      </w:r>
      <w:r w:rsidR="00FF5C68" w:rsidRPr="002D6B6E">
        <w:rPr>
          <w:sz w:val="18"/>
          <w:szCs w:val="18"/>
        </w:rPr>
        <w:t>.</w:t>
      </w:r>
    </w:p>
    <w:p w14:paraId="60D7CE6D" w14:textId="051CBD7C" w:rsidR="00CC2209" w:rsidRPr="002D6B6E" w:rsidRDefault="004C2D67" w:rsidP="007C532A">
      <w:pPr>
        <w:rPr>
          <w:sz w:val="18"/>
          <w:szCs w:val="18"/>
          <w:u w:val="single"/>
        </w:rPr>
      </w:pPr>
      <w:r w:rsidRPr="002D6B6E">
        <w:rPr>
          <w:sz w:val="18"/>
          <w:szCs w:val="18"/>
          <w:u w:val="single"/>
        </w:rPr>
        <w:t>4</w:t>
      </w:r>
      <w:r w:rsidR="00FB2BD1" w:rsidRPr="002D6B6E">
        <w:rPr>
          <w:sz w:val="18"/>
          <w:szCs w:val="18"/>
          <w:u w:val="single"/>
        </w:rPr>
        <w:t xml:space="preserve"> Modalités d’adaptation aux futures tensions sur l’eau</w:t>
      </w:r>
    </w:p>
    <w:p w14:paraId="1119A55F" w14:textId="48023471" w:rsidR="00CC2209" w:rsidRPr="002D6B6E" w:rsidRDefault="00CC2209" w:rsidP="007C532A">
      <w:pPr>
        <w:rPr>
          <w:sz w:val="18"/>
          <w:szCs w:val="18"/>
        </w:rPr>
      </w:pPr>
      <w:r w:rsidRPr="002D6B6E">
        <w:rPr>
          <w:sz w:val="18"/>
          <w:szCs w:val="18"/>
        </w:rPr>
        <w:t xml:space="preserve">Il s’agira plutôt d’une revue à travers des présentations de cas emblématiques plutôt que d’une approche théorique exhaustive. </w:t>
      </w:r>
      <w:r w:rsidR="00787575" w:rsidRPr="002D6B6E">
        <w:rPr>
          <w:sz w:val="18"/>
          <w:szCs w:val="18"/>
        </w:rPr>
        <w:t xml:space="preserve"> </w:t>
      </w:r>
      <w:r w:rsidR="00FB2BD1" w:rsidRPr="002D6B6E">
        <w:rPr>
          <w:sz w:val="18"/>
          <w:szCs w:val="18"/>
        </w:rPr>
        <w:t xml:space="preserve">Le retour d’expériences des crises passées. </w:t>
      </w:r>
      <w:r w:rsidRPr="002D6B6E">
        <w:rPr>
          <w:sz w:val="18"/>
          <w:szCs w:val="18"/>
        </w:rPr>
        <w:t xml:space="preserve">Des modes de gestion de la demande en eau plus incitatifs et </w:t>
      </w:r>
      <w:r w:rsidR="00DC30F8" w:rsidRPr="002D6B6E">
        <w:rPr>
          <w:sz w:val="18"/>
          <w:szCs w:val="18"/>
        </w:rPr>
        <w:t xml:space="preserve">mieux </w:t>
      </w:r>
      <w:r w:rsidRPr="002D6B6E">
        <w:rPr>
          <w:sz w:val="18"/>
          <w:szCs w:val="18"/>
        </w:rPr>
        <w:t>adaptés. Des   outils et des procédures de gouvernance et de</w:t>
      </w:r>
      <w:r w:rsidR="00396A01" w:rsidRPr="002D6B6E">
        <w:rPr>
          <w:sz w:val="18"/>
          <w:szCs w:val="18"/>
        </w:rPr>
        <w:t xml:space="preserve"> </w:t>
      </w:r>
      <w:r w:rsidRPr="002D6B6E">
        <w:rPr>
          <w:sz w:val="18"/>
          <w:szCs w:val="18"/>
        </w:rPr>
        <w:t>planification mieux partagés et mieux suivis</w:t>
      </w:r>
      <w:r w:rsidR="00D076FD" w:rsidRPr="002D6B6E">
        <w:rPr>
          <w:sz w:val="18"/>
          <w:szCs w:val="18"/>
        </w:rPr>
        <w:t xml:space="preserve"> (éviter ou limiter les conflits d’usage notamment)</w:t>
      </w:r>
      <w:r w:rsidRPr="002D6B6E">
        <w:rPr>
          <w:sz w:val="18"/>
          <w:szCs w:val="18"/>
        </w:rPr>
        <w:t xml:space="preserve">. </w:t>
      </w:r>
      <w:r w:rsidR="00401051">
        <w:rPr>
          <w:sz w:val="18"/>
          <w:szCs w:val="18"/>
        </w:rPr>
        <w:t>Des modes de vie adaptés.</w:t>
      </w:r>
      <w:r w:rsidR="007526CB">
        <w:rPr>
          <w:sz w:val="18"/>
          <w:szCs w:val="18"/>
        </w:rPr>
        <w:t xml:space="preserve"> De nouvelles organisations sociales ou politiques.</w:t>
      </w:r>
      <w:r w:rsidR="00401051">
        <w:rPr>
          <w:sz w:val="18"/>
          <w:szCs w:val="18"/>
        </w:rPr>
        <w:t xml:space="preserve"> </w:t>
      </w:r>
      <w:r w:rsidRPr="002D6B6E">
        <w:rPr>
          <w:sz w:val="18"/>
          <w:szCs w:val="18"/>
        </w:rPr>
        <w:t>Des éclairages en termes de développement durable ou d’atteinte de l’ODD6. La mobilisation de ressources alternatives</w:t>
      </w:r>
      <w:r w:rsidR="00E8326F" w:rsidRPr="002D6B6E">
        <w:rPr>
          <w:sz w:val="18"/>
          <w:szCs w:val="18"/>
        </w:rPr>
        <w:t>, non conventionnelles</w:t>
      </w:r>
      <w:r w:rsidRPr="002D6B6E">
        <w:rPr>
          <w:sz w:val="18"/>
          <w:szCs w:val="18"/>
        </w:rPr>
        <w:t>. Les ouvrages de stockage et les systèmes de transfert</w:t>
      </w:r>
      <w:r w:rsidR="00AA453E" w:rsidRPr="002D6B6E">
        <w:rPr>
          <w:sz w:val="18"/>
          <w:szCs w:val="18"/>
        </w:rPr>
        <w:t>.</w:t>
      </w:r>
    </w:p>
    <w:p w14:paraId="2BDEF5A4" w14:textId="1EBD0225" w:rsidR="00AA453E" w:rsidRPr="00AA453E" w:rsidRDefault="00AA453E" w:rsidP="007C532A">
      <w:pPr>
        <w:rPr>
          <w:b/>
        </w:rPr>
      </w:pPr>
      <w:r w:rsidRPr="00AA453E">
        <w:rPr>
          <w:b/>
        </w:rPr>
        <w:t>Informations pratiques</w:t>
      </w:r>
    </w:p>
    <w:p w14:paraId="1FE9EB8E" w14:textId="18485997" w:rsidR="00CC2209" w:rsidRPr="006D78A4" w:rsidRDefault="00CC2209" w:rsidP="00322DFF">
      <w:pPr>
        <w:pStyle w:val="Sansinterligne"/>
        <w:rPr>
          <w:sz w:val="18"/>
          <w:szCs w:val="18"/>
        </w:rPr>
      </w:pPr>
      <w:r w:rsidRPr="006D78A4">
        <w:rPr>
          <w:sz w:val="18"/>
          <w:szCs w:val="18"/>
          <w:u w:val="single"/>
        </w:rPr>
        <w:t>Lieu</w:t>
      </w:r>
      <w:r w:rsidR="007A4F32" w:rsidRPr="006D78A4">
        <w:rPr>
          <w:sz w:val="18"/>
          <w:szCs w:val="18"/>
        </w:rPr>
        <w:t xml:space="preserve"> : </w:t>
      </w:r>
      <w:r w:rsidRPr="006D78A4">
        <w:rPr>
          <w:sz w:val="18"/>
          <w:szCs w:val="18"/>
        </w:rPr>
        <w:t>Paris dans les locaux de l’UNESCO</w:t>
      </w:r>
    </w:p>
    <w:p w14:paraId="1A1C4F1B" w14:textId="245A83CB" w:rsidR="00CC2209" w:rsidRPr="006D78A4" w:rsidRDefault="00CC2209" w:rsidP="00322DFF">
      <w:pPr>
        <w:pStyle w:val="Sansinterligne"/>
        <w:rPr>
          <w:sz w:val="18"/>
          <w:szCs w:val="18"/>
        </w:rPr>
      </w:pPr>
      <w:r w:rsidRPr="006D78A4">
        <w:rPr>
          <w:sz w:val="18"/>
          <w:szCs w:val="18"/>
          <w:u w:val="single"/>
        </w:rPr>
        <w:t>Date</w:t>
      </w:r>
      <w:r w:rsidR="007A4F32" w:rsidRPr="006D78A4">
        <w:rPr>
          <w:sz w:val="18"/>
          <w:szCs w:val="18"/>
        </w:rPr>
        <w:t> :</w:t>
      </w:r>
      <w:r w:rsidR="00DC30F8" w:rsidRPr="006D78A4">
        <w:rPr>
          <w:sz w:val="18"/>
          <w:szCs w:val="18"/>
        </w:rPr>
        <w:t xml:space="preserve"> </w:t>
      </w:r>
      <w:r w:rsidR="00A0163E" w:rsidRPr="006D78A4">
        <w:rPr>
          <w:sz w:val="18"/>
          <w:szCs w:val="18"/>
        </w:rPr>
        <w:t>semaine 48 en</w:t>
      </w:r>
      <w:r w:rsidR="00F203AD" w:rsidRPr="006D78A4">
        <w:rPr>
          <w:sz w:val="18"/>
          <w:szCs w:val="18"/>
        </w:rPr>
        <w:t xml:space="preserve"> </w:t>
      </w:r>
      <w:r w:rsidRPr="006D78A4">
        <w:rPr>
          <w:sz w:val="18"/>
          <w:szCs w:val="18"/>
        </w:rPr>
        <w:t>2019</w:t>
      </w:r>
      <w:r w:rsidR="007A4F32" w:rsidRPr="006D78A4">
        <w:rPr>
          <w:sz w:val="18"/>
          <w:szCs w:val="18"/>
        </w:rPr>
        <w:t xml:space="preserve">, </w:t>
      </w:r>
      <w:r w:rsidR="00A0163E" w:rsidRPr="006D78A4">
        <w:rPr>
          <w:sz w:val="18"/>
          <w:szCs w:val="18"/>
        </w:rPr>
        <w:t>3 jours</w:t>
      </w:r>
      <w:r w:rsidR="00860B63" w:rsidRPr="006D78A4">
        <w:rPr>
          <w:sz w:val="18"/>
          <w:szCs w:val="18"/>
        </w:rPr>
        <w:t>,</w:t>
      </w:r>
      <w:r w:rsidR="00A0163E" w:rsidRPr="006D78A4">
        <w:rPr>
          <w:sz w:val="18"/>
          <w:szCs w:val="18"/>
        </w:rPr>
        <w:t xml:space="preserve"> le</w:t>
      </w:r>
      <w:r w:rsidR="00860B63" w:rsidRPr="006D78A4">
        <w:rPr>
          <w:sz w:val="18"/>
          <w:szCs w:val="18"/>
        </w:rPr>
        <w:t>s</w:t>
      </w:r>
      <w:r w:rsidR="00A0163E" w:rsidRPr="006D78A4">
        <w:rPr>
          <w:sz w:val="18"/>
          <w:szCs w:val="18"/>
        </w:rPr>
        <w:t xml:space="preserve"> 25</w:t>
      </w:r>
      <w:r w:rsidR="00860B63" w:rsidRPr="006D78A4">
        <w:rPr>
          <w:sz w:val="18"/>
          <w:szCs w:val="18"/>
        </w:rPr>
        <w:t xml:space="preserve"> – 26 - </w:t>
      </w:r>
      <w:r w:rsidR="00A0163E" w:rsidRPr="006D78A4">
        <w:rPr>
          <w:sz w:val="18"/>
          <w:szCs w:val="18"/>
        </w:rPr>
        <w:t>2</w:t>
      </w:r>
      <w:r w:rsidR="00860B63" w:rsidRPr="006D78A4">
        <w:rPr>
          <w:sz w:val="18"/>
          <w:szCs w:val="18"/>
        </w:rPr>
        <w:t>7</w:t>
      </w:r>
      <w:r w:rsidR="00A0163E" w:rsidRPr="006D78A4">
        <w:rPr>
          <w:sz w:val="18"/>
          <w:szCs w:val="18"/>
        </w:rPr>
        <w:t xml:space="preserve"> novembre </w:t>
      </w:r>
      <w:r w:rsidR="00304479">
        <w:rPr>
          <w:sz w:val="18"/>
          <w:szCs w:val="18"/>
        </w:rPr>
        <w:t xml:space="preserve">ou encore les 26-27-28 novembre </w:t>
      </w:r>
      <w:r w:rsidR="00A0163E" w:rsidRPr="006D78A4">
        <w:rPr>
          <w:sz w:val="18"/>
          <w:szCs w:val="18"/>
        </w:rPr>
        <w:t>2019</w:t>
      </w:r>
      <w:r w:rsidR="009B62F8" w:rsidRPr="006D78A4">
        <w:rPr>
          <w:sz w:val="18"/>
          <w:szCs w:val="18"/>
        </w:rPr>
        <w:t xml:space="preserve"> </w:t>
      </w:r>
    </w:p>
    <w:p w14:paraId="0FF0B8D2" w14:textId="4DD9190F" w:rsidR="00322DFF" w:rsidRPr="006D78A4" w:rsidRDefault="00CC2209" w:rsidP="00322DFF">
      <w:pPr>
        <w:pStyle w:val="Sansinterligne"/>
        <w:rPr>
          <w:sz w:val="18"/>
          <w:szCs w:val="18"/>
        </w:rPr>
      </w:pPr>
      <w:r w:rsidRPr="006D78A4">
        <w:rPr>
          <w:sz w:val="18"/>
          <w:szCs w:val="18"/>
          <w:u w:val="single"/>
        </w:rPr>
        <w:t>Participation attendue</w:t>
      </w:r>
      <w:r w:rsidRPr="006D78A4">
        <w:rPr>
          <w:sz w:val="18"/>
          <w:szCs w:val="18"/>
        </w:rPr>
        <w:t xml:space="preserve"> : </w:t>
      </w:r>
      <w:r w:rsidR="00FF5C68" w:rsidRPr="006D78A4">
        <w:rPr>
          <w:sz w:val="18"/>
          <w:szCs w:val="18"/>
        </w:rPr>
        <w:t xml:space="preserve">300 à </w:t>
      </w:r>
      <w:r w:rsidRPr="006D78A4">
        <w:rPr>
          <w:sz w:val="18"/>
          <w:szCs w:val="18"/>
        </w:rPr>
        <w:t>350 personnes dont 50 % issus de pays francophones partenaires</w:t>
      </w:r>
    </w:p>
    <w:p w14:paraId="50FFDC26" w14:textId="74EEF221" w:rsidR="00994314" w:rsidRPr="006D78A4" w:rsidRDefault="00384039" w:rsidP="00F73390">
      <w:pPr>
        <w:pStyle w:val="Sansinterligne"/>
        <w:rPr>
          <w:sz w:val="18"/>
          <w:szCs w:val="18"/>
        </w:rPr>
      </w:pPr>
      <w:r w:rsidRPr="006D78A4">
        <w:rPr>
          <w:sz w:val="18"/>
          <w:szCs w:val="18"/>
          <w:u w:val="single"/>
        </w:rPr>
        <w:t>Langue du colloque</w:t>
      </w:r>
      <w:r w:rsidRPr="006D78A4">
        <w:rPr>
          <w:sz w:val="18"/>
          <w:szCs w:val="18"/>
        </w:rPr>
        <w:t> : français</w:t>
      </w:r>
      <w:r w:rsidR="00F73390" w:rsidRPr="006D78A4">
        <w:rPr>
          <w:sz w:val="18"/>
          <w:szCs w:val="18"/>
        </w:rPr>
        <w:t>, possibilité de</w:t>
      </w:r>
      <w:r w:rsidRPr="006D78A4">
        <w:rPr>
          <w:sz w:val="18"/>
          <w:szCs w:val="18"/>
        </w:rPr>
        <w:t xml:space="preserve"> communications en anglais (</w:t>
      </w:r>
      <w:r w:rsidR="00F73390" w:rsidRPr="006D78A4">
        <w:rPr>
          <w:sz w:val="18"/>
          <w:szCs w:val="18"/>
        </w:rPr>
        <w:t>voire</w:t>
      </w:r>
      <w:r w:rsidRPr="006D78A4">
        <w:rPr>
          <w:sz w:val="18"/>
          <w:szCs w:val="18"/>
        </w:rPr>
        <w:t xml:space="preserve"> en espagnol) </w:t>
      </w:r>
    </w:p>
    <w:p w14:paraId="5993C3FE" w14:textId="5BB8477A" w:rsidR="00F203AD" w:rsidRPr="006D78A4" w:rsidRDefault="00CC2209" w:rsidP="00127443">
      <w:pPr>
        <w:rPr>
          <w:sz w:val="18"/>
          <w:szCs w:val="18"/>
        </w:rPr>
      </w:pPr>
      <w:r w:rsidRPr="006D78A4">
        <w:rPr>
          <w:sz w:val="18"/>
          <w:szCs w:val="18"/>
          <w:u w:val="single"/>
        </w:rPr>
        <w:t>Quelques composantes</w:t>
      </w:r>
      <w:r w:rsidRPr="006D78A4">
        <w:rPr>
          <w:sz w:val="18"/>
          <w:szCs w:val="18"/>
        </w:rPr>
        <w:t> :</w:t>
      </w:r>
      <w:r w:rsidR="007A4F32" w:rsidRPr="006D78A4">
        <w:rPr>
          <w:sz w:val="18"/>
          <w:szCs w:val="18"/>
        </w:rPr>
        <w:t xml:space="preserve"> d</w:t>
      </w:r>
      <w:r w:rsidRPr="006D78A4">
        <w:rPr>
          <w:sz w:val="18"/>
          <w:szCs w:val="18"/>
        </w:rPr>
        <w:t>es conférences en séance plénière (4 sessions d’un quart de journée)</w:t>
      </w:r>
      <w:r w:rsidR="00F73390" w:rsidRPr="006D78A4">
        <w:rPr>
          <w:sz w:val="18"/>
          <w:szCs w:val="18"/>
        </w:rPr>
        <w:t>,</w:t>
      </w:r>
      <w:r w:rsidRPr="006D78A4">
        <w:rPr>
          <w:sz w:val="18"/>
          <w:szCs w:val="18"/>
        </w:rPr>
        <w:t xml:space="preserve"> </w:t>
      </w:r>
      <w:r w:rsidR="00304479">
        <w:rPr>
          <w:sz w:val="18"/>
          <w:szCs w:val="18"/>
        </w:rPr>
        <w:t xml:space="preserve">la possibilité de sessions en parallèle est préservée, </w:t>
      </w:r>
      <w:r w:rsidRPr="006D78A4">
        <w:rPr>
          <w:sz w:val="18"/>
          <w:szCs w:val="18"/>
        </w:rPr>
        <w:t>une dizaine d’interventions majeures</w:t>
      </w:r>
      <w:r w:rsidR="007A4F32" w:rsidRPr="006D78A4">
        <w:rPr>
          <w:sz w:val="18"/>
          <w:szCs w:val="18"/>
        </w:rPr>
        <w:t>, d</w:t>
      </w:r>
      <w:r w:rsidRPr="006D78A4">
        <w:rPr>
          <w:sz w:val="18"/>
          <w:szCs w:val="18"/>
        </w:rPr>
        <w:t xml:space="preserve">es communications orales dans des sessions en parallèle d’une durée de l’ordre de 15 minutes soit environ </w:t>
      </w:r>
      <w:r w:rsidR="001970DA" w:rsidRPr="006D78A4">
        <w:rPr>
          <w:sz w:val="18"/>
          <w:szCs w:val="18"/>
        </w:rPr>
        <w:t>5</w:t>
      </w:r>
      <w:r w:rsidRPr="006D78A4">
        <w:rPr>
          <w:sz w:val="18"/>
          <w:szCs w:val="18"/>
        </w:rPr>
        <w:t>0 communications orales</w:t>
      </w:r>
      <w:r w:rsidR="007A4F32" w:rsidRPr="006D78A4">
        <w:rPr>
          <w:sz w:val="18"/>
          <w:szCs w:val="18"/>
        </w:rPr>
        <w:t>, d</w:t>
      </w:r>
      <w:r w:rsidRPr="006D78A4">
        <w:rPr>
          <w:sz w:val="18"/>
          <w:szCs w:val="18"/>
        </w:rPr>
        <w:t>es posters selon limites du site (moins de 70)</w:t>
      </w:r>
      <w:r w:rsidR="007A4F32" w:rsidRPr="006D78A4">
        <w:rPr>
          <w:sz w:val="18"/>
          <w:szCs w:val="18"/>
        </w:rPr>
        <w:t xml:space="preserve"> et p</w:t>
      </w:r>
      <w:r w:rsidR="009B62F8" w:rsidRPr="006D78A4">
        <w:rPr>
          <w:sz w:val="18"/>
          <w:szCs w:val="18"/>
        </w:rPr>
        <w:t xml:space="preserve">ossibilité </w:t>
      </w:r>
      <w:r w:rsidR="003F7569" w:rsidRPr="006D78A4">
        <w:rPr>
          <w:sz w:val="18"/>
          <w:szCs w:val="18"/>
        </w:rPr>
        <w:t xml:space="preserve">d’une séance de conclusions conduite par des « jeunes » et tenue </w:t>
      </w:r>
      <w:r w:rsidR="009B62F8" w:rsidRPr="006D78A4">
        <w:rPr>
          <w:sz w:val="18"/>
          <w:szCs w:val="18"/>
        </w:rPr>
        <w:t>d’ateliers si souhaitée</w:t>
      </w:r>
      <w:r w:rsidR="00F73390" w:rsidRPr="006D78A4">
        <w:rPr>
          <w:sz w:val="18"/>
          <w:szCs w:val="18"/>
        </w:rPr>
        <w:t xml:space="preserve">. </w:t>
      </w:r>
      <w:r w:rsidRPr="006D78A4">
        <w:rPr>
          <w:sz w:val="18"/>
          <w:szCs w:val="18"/>
        </w:rPr>
        <w:t>Toutes les interventions donnent lieu à communications écrites et sont reprises dans une clé mémoire remise à chaque participant. Les meilleures communications paraîtront dans L</w:t>
      </w:r>
      <w:r w:rsidR="006D78A4" w:rsidRPr="006D78A4">
        <w:rPr>
          <w:sz w:val="18"/>
          <w:szCs w:val="18"/>
        </w:rPr>
        <w:t xml:space="preserve">a </w:t>
      </w:r>
      <w:r w:rsidRPr="006D78A4">
        <w:rPr>
          <w:sz w:val="18"/>
          <w:szCs w:val="18"/>
        </w:rPr>
        <w:t>H</w:t>
      </w:r>
      <w:r w:rsidR="006D78A4" w:rsidRPr="006D78A4">
        <w:rPr>
          <w:sz w:val="18"/>
          <w:szCs w:val="18"/>
        </w:rPr>
        <w:t xml:space="preserve">ouille </w:t>
      </w:r>
      <w:r w:rsidRPr="006D78A4">
        <w:rPr>
          <w:sz w:val="18"/>
          <w:szCs w:val="18"/>
        </w:rPr>
        <w:t>B</w:t>
      </w:r>
      <w:r w:rsidR="006D78A4" w:rsidRPr="006D78A4">
        <w:rPr>
          <w:sz w:val="18"/>
          <w:szCs w:val="18"/>
        </w:rPr>
        <w:t>lanche</w:t>
      </w:r>
      <w:r w:rsidR="002120DA" w:rsidRPr="006D78A4">
        <w:rPr>
          <w:sz w:val="18"/>
          <w:szCs w:val="18"/>
        </w:rPr>
        <w:t>.</w:t>
      </w:r>
      <w:r w:rsidR="009B62F8" w:rsidRPr="006D78A4">
        <w:rPr>
          <w:sz w:val="18"/>
          <w:szCs w:val="18"/>
        </w:rPr>
        <w:t xml:space="preserve">     </w:t>
      </w:r>
    </w:p>
    <w:p w14:paraId="42BAAAB5" w14:textId="7967269D" w:rsidR="00F203AD" w:rsidRPr="007D1612" w:rsidRDefault="00F203AD" w:rsidP="00127443">
      <w:pPr>
        <w:rPr>
          <w:b/>
        </w:rPr>
      </w:pPr>
      <w:r w:rsidRPr="007D1612">
        <w:rPr>
          <w:b/>
        </w:rPr>
        <w:t>Comité Scientifique</w:t>
      </w:r>
      <w:r w:rsidR="00396A01">
        <w:rPr>
          <w:b/>
        </w:rPr>
        <w:t xml:space="preserve"> </w:t>
      </w:r>
      <w:r w:rsidR="00AA453E">
        <w:rPr>
          <w:b/>
        </w:rPr>
        <w:t xml:space="preserve">et </w:t>
      </w:r>
      <w:r w:rsidR="006D78A4">
        <w:rPr>
          <w:b/>
        </w:rPr>
        <w:t>C</w:t>
      </w:r>
      <w:r w:rsidR="00AA453E">
        <w:rPr>
          <w:b/>
        </w:rPr>
        <w:t>omité d’</w:t>
      </w:r>
      <w:r w:rsidR="006D78A4">
        <w:rPr>
          <w:b/>
        </w:rPr>
        <w:t>O</w:t>
      </w:r>
      <w:r w:rsidR="00AA453E">
        <w:rPr>
          <w:b/>
        </w:rPr>
        <w:t>rganisation (*)</w:t>
      </w:r>
    </w:p>
    <w:p w14:paraId="42CED420" w14:textId="77777777" w:rsidR="00B411AE" w:rsidRDefault="00B411AE" w:rsidP="00127443">
      <w:pPr>
        <w:sectPr w:rsidR="00B411AE" w:rsidSect="008F0058">
          <w:headerReference w:type="default" r:id="rId14"/>
          <w:footerReference w:type="default" r:id="rId15"/>
          <w:pgSz w:w="11906" w:h="16838"/>
          <w:pgMar w:top="1417" w:right="849" w:bottom="1417" w:left="1276" w:header="708" w:footer="708" w:gutter="0"/>
          <w:cols w:space="708"/>
          <w:docGrid w:linePitch="360"/>
        </w:sectPr>
      </w:pPr>
    </w:p>
    <w:p w14:paraId="37BEF34D" w14:textId="77777777" w:rsidR="00FB033C" w:rsidRPr="002D6B6E" w:rsidRDefault="00FB033C"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ALI Abdou Agrhymet</w:t>
      </w:r>
    </w:p>
    <w:p w14:paraId="22DDF9B4" w14:textId="312FCEE3" w:rsidR="00FB033C" w:rsidRPr="002D6B6E" w:rsidRDefault="00FB033C"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AMANI Abou UNESCO PHI</w:t>
      </w:r>
    </w:p>
    <w:p w14:paraId="7792C506" w14:textId="47B9683A" w:rsidR="00332928" w:rsidRPr="002D6B6E" w:rsidRDefault="00FB033C"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AMOUSSOU Ernest Université de Parakou Cotonou</w:t>
      </w:r>
    </w:p>
    <w:p w14:paraId="2EE05250" w14:textId="5E8A7DD8" w:rsidR="00CA1F79" w:rsidRPr="002D6B6E" w:rsidRDefault="00CA1F79" w:rsidP="001F1C20">
      <w:pPr>
        <w:pStyle w:val="Sansinterligne"/>
        <w:rPr>
          <w:rFonts w:asciiTheme="minorHAnsi" w:hAnsiTheme="minorHAnsi" w:cstheme="minorHAnsi"/>
          <w:sz w:val="16"/>
          <w:szCs w:val="16"/>
          <w:lang w:val="en-US"/>
        </w:rPr>
      </w:pPr>
      <w:r w:rsidRPr="002D6B6E">
        <w:rPr>
          <w:rFonts w:asciiTheme="minorHAnsi" w:hAnsiTheme="minorHAnsi" w:cstheme="minorHAnsi"/>
          <w:sz w:val="16"/>
          <w:szCs w:val="16"/>
          <w:lang w:val="en-US"/>
        </w:rPr>
        <w:t>ANDREASSIAN Vazken IRSTEA</w:t>
      </w:r>
    </w:p>
    <w:p w14:paraId="593CE766" w14:textId="079E0E4E" w:rsidR="00332928" w:rsidRPr="002D6B6E" w:rsidRDefault="00332928" w:rsidP="001F1C20">
      <w:pPr>
        <w:pStyle w:val="Sansinterligne"/>
        <w:rPr>
          <w:rFonts w:asciiTheme="minorHAnsi" w:hAnsiTheme="minorHAnsi" w:cstheme="minorHAnsi"/>
          <w:sz w:val="16"/>
          <w:szCs w:val="16"/>
          <w:lang w:val="en-US"/>
        </w:rPr>
      </w:pPr>
      <w:r w:rsidRPr="002D6B6E">
        <w:rPr>
          <w:rFonts w:asciiTheme="minorHAnsi" w:hAnsiTheme="minorHAnsi" w:cstheme="minorHAnsi"/>
          <w:sz w:val="16"/>
          <w:szCs w:val="16"/>
          <w:lang w:val="en-US"/>
        </w:rPr>
        <w:t>BARRAQUE Bernard CNRS AgroParisTech</w:t>
      </w:r>
    </w:p>
    <w:p w14:paraId="3C0DBBB3" w14:textId="1D507594" w:rsidR="00B11A49" w:rsidRPr="002D6B6E" w:rsidRDefault="00AE125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BESSIERE Claude INGEROP</w:t>
      </w:r>
    </w:p>
    <w:p w14:paraId="6EEFAC05" w14:textId="2AA0E8D6" w:rsidR="008B4B88" w:rsidRPr="002D6B6E" w:rsidRDefault="008B4B88"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BODIAN Ansoumana Université Gaston Berg</w:t>
      </w:r>
      <w:r w:rsidR="00B411AE" w:rsidRPr="002D6B6E">
        <w:rPr>
          <w:rFonts w:asciiTheme="minorHAnsi" w:hAnsiTheme="minorHAnsi" w:cstheme="minorHAnsi"/>
          <w:sz w:val="16"/>
          <w:szCs w:val="16"/>
        </w:rPr>
        <w:t>er Saint-Louis</w:t>
      </w:r>
    </w:p>
    <w:p w14:paraId="2B14B48A" w14:textId="18BEDBCC" w:rsidR="00332928" w:rsidRPr="002D6B6E" w:rsidRDefault="00332928"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BRACHET</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Christophe OIEau</w:t>
      </w:r>
    </w:p>
    <w:p w14:paraId="4D8A3F2B" w14:textId="5493723C" w:rsidR="00500592" w:rsidRPr="002D6B6E" w:rsidRDefault="00500592"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BRUNI G</w:t>
      </w:r>
      <w:r w:rsidR="007526CB">
        <w:rPr>
          <w:rFonts w:asciiTheme="minorHAnsi" w:hAnsiTheme="minorHAnsi" w:cstheme="minorHAnsi"/>
          <w:sz w:val="16"/>
          <w:szCs w:val="16"/>
        </w:rPr>
        <w:t>u</w:t>
      </w:r>
      <w:r w:rsidRPr="002D6B6E">
        <w:rPr>
          <w:rFonts w:asciiTheme="minorHAnsi" w:hAnsiTheme="minorHAnsi" w:cstheme="minorHAnsi"/>
          <w:sz w:val="16"/>
          <w:szCs w:val="16"/>
        </w:rPr>
        <w:t>endalina ARTELIA</w:t>
      </w:r>
    </w:p>
    <w:p w14:paraId="7C6B9098" w14:textId="3A710565" w:rsidR="00FB033C" w:rsidRPr="002D6B6E" w:rsidRDefault="00FB033C"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 xml:space="preserve">CABRERA Enrique Université de Valence </w:t>
      </w:r>
    </w:p>
    <w:p w14:paraId="1A472C21" w14:textId="332F491E" w:rsidR="00332928" w:rsidRPr="002D6B6E" w:rsidRDefault="00332928"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CERNESSON Flavie AgroParisTech</w:t>
      </w:r>
    </w:p>
    <w:p w14:paraId="3814D186" w14:textId="7EE17149" w:rsidR="009D3589" w:rsidRPr="002D6B6E" w:rsidRDefault="009D3589"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CŒUR Denis Historien</w:t>
      </w:r>
    </w:p>
    <w:p w14:paraId="4B18B090" w14:textId="77777777" w:rsidR="00AE4BA3" w:rsidRPr="002D6B6E" w:rsidRDefault="00AE4BA3" w:rsidP="00AE4BA3">
      <w:pPr>
        <w:pStyle w:val="Sansinterligne"/>
        <w:rPr>
          <w:rFonts w:asciiTheme="minorHAnsi" w:hAnsiTheme="minorHAnsi" w:cstheme="minorHAnsi"/>
          <w:sz w:val="16"/>
          <w:szCs w:val="16"/>
        </w:rPr>
      </w:pPr>
      <w:r w:rsidRPr="002D6B6E">
        <w:rPr>
          <w:rFonts w:asciiTheme="minorHAnsi" w:hAnsiTheme="minorHAnsi" w:cstheme="minorHAnsi"/>
          <w:sz w:val="16"/>
          <w:szCs w:val="16"/>
        </w:rPr>
        <w:t>CUDENNEC Christophe Agrocampus Ouest IAHS-AISH</w:t>
      </w:r>
    </w:p>
    <w:p w14:paraId="5ABCB5F6" w14:textId="6D02D8B4" w:rsidR="00F203AD" w:rsidRPr="002D6B6E" w:rsidRDefault="00F203A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DEUTSCH</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Jean-Claude ARCEAU</w:t>
      </w:r>
    </w:p>
    <w:p w14:paraId="27F0267B" w14:textId="493DFAA7" w:rsidR="00240E9B" w:rsidRPr="002D6B6E" w:rsidRDefault="00240E9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DIERICKX Philippe SPW Wallonie</w:t>
      </w:r>
    </w:p>
    <w:p w14:paraId="69C5C589" w14:textId="16340ABD" w:rsidR="004B41A0" w:rsidRPr="002D6B6E" w:rsidRDefault="005C5A62"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EUZEN Agathe CNRS</w:t>
      </w:r>
    </w:p>
    <w:p w14:paraId="64CC605B" w14:textId="084753FB" w:rsidR="00F0524B" w:rsidRPr="002D6B6E" w:rsidRDefault="00F0524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FEKI Haifa ESI</w:t>
      </w:r>
      <w:r w:rsidR="007526CB">
        <w:rPr>
          <w:rFonts w:asciiTheme="minorHAnsi" w:hAnsiTheme="minorHAnsi" w:cstheme="minorHAnsi"/>
          <w:sz w:val="16"/>
          <w:szCs w:val="16"/>
        </w:rPr>
        <w:t>M</w:t>
      </w:r>
      <w:r w:rsidRPr="002D6B6E">
        <w:rPr>
          <w:rFonts w:asciiTheme="minorHAnsi" w:hAnsiTheme="minorHAnsi" w:cstheme="minorHAnsi"/>
          <w:sz w:val="16"/>
          <w:szCs w:val="16"/>
        </w:rPr>
        <w:t xml:space="preserve"> Tunisie</w:t>
      </w:r>
    </w:p>
    <w:p w14:paraId="0862E8B5" w14:textId="0F95CE2F" w:rsidR="00240E9B" w:rsidRPr="002D6B6E" w:rsidRDefault="00240E9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FERNANDEZ Sara ENGEES/IRSTEA</w:t>
      </w:r>
    </w:p>
    <w:p w14:paraId="37A6602D" w14:textId="06E61B98" w:rsidR="00332928" w:rsidRPr="002D6B6E" w:rsidRDefault="00332928"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lastRenderedPageBreak/>
        <w:t>GARCON Rémy EDF-DTG</w:t>
      </w:r>
    </w:p>
    <w:p w14:paraId="2E6038F3" w14:textId="0152C0C9" w:rsidR="00332928" w:rsidRPr="004A7C64" w:rsidRDefault="00332928" w:rsidP="001F1C20">
      <w:pPr>
        <w:pStyle w:val="Sansinterligne"/>
        <w:rPr>
          <w:rFonts w:asciiTheme="minorHAnsi" w:hAnsiTheme="minorHAnsi" w:cstheme="minorHAnsi"/>
          <w:sz w:val="16"/>
          <w:szCs w:val="16"/>
          <w:lang w:val="de-DE"/>
        </w:rPr>
      </w:pPr>
      <w:r w:rsidRPr="004A7C64">
        <w:rPr>
          <w:rFonts w:asciiTheme="minorHAnsi" w:hAnsiTheme="minorHAnsi" w:cstheme="minorHAnsi"/>
          <w:sz w:val="16"/>
          <w:szCs w:val="16"/>
          <w:lang w:val="de-DE"/>
        </w:rPr>
        <w:t xml:space="preserve">GAUME </w:t>
      </w:r>
      <w:r w:rsidR="00AA345D" w:rsidRPr="004A7C64">
        <w:rPr>
          <w:rFonts w:asciiTheme="minorHAnsi" w:hAnsiTheme="minorHAnsi" w:cstheme="minorHAnsi"/>
          <w:sz w:val="16"/>
          <w:szCs w:val="16"/>
          <w:lang w:val="de-DE"/>
        </w:rPr>
        <w:t>Éric</w:t>
      </w:r>
      <w:r w:rsidRPr="004A7C64">
        <w:rPr>
          <w:rFonts w:asciiTheme="minorHAnsi" w:hAnsiTheme="minorHAnsi" w:cstheme="minorHAnsi"/>
          <w:sz w:val="16"/>
          <w:szCs w:val="16"/>
          <w:lang w:val="de-DE"/>
        </w:rPr>
        <w:t xml:space="preserve"> IFSTTAR</w:t>
      </w:r>
    </w:p>
    <w:p w14:paraId="5EBA98B6" w14:textId="5B18216F" w:rsidR="009D3589" w:rsidRPr="009D587A" w:rsidRDefault="009D3589" w:rsidP="001F1C20">
      <w:pPr>
        <w:pStyle w:val="Sansinterligne"/>
        <w:rPr>
          <w:rFonts w:asciiTheme="minorHAnsi" w:hAnsiTheme="minorHAnsi" w:cstheme="minorHAnsi"/>
          <w:sz w:val="16"/>
          <w:szCs w:val="16"/>
          <w:lang w:val="de-DE"/>
        </w:rPr>
      </w:pPr>
      <w:r w:rsidRPr="009D587A">
        <w:rPr>
          <w:rFonts w:asciiTheme="minorHAnsi" w:hAnsiTheme="minorHAnsi" w:cstheme="minorHAnsi"/>
          <w:sz w:val="16"/>
          <w:szCs w:val="16"/>
          <w:lang w:val="de-DE"/>
        </w:rPr>
        <w:t xml:space="preserve">GEISSELER Bettina </w:t>
      </w:r>
      <w:r w:rsidR="009D587A" w:rsidRPr="009D587A">
        <w:rPr>
          <w:rFonts w:asciiTheme="minorHAnsi" w:hAnsiTheme="minorHAnsi" w:cstheme="minorHAnsi"/>
          <w:sz w:val="16"/>
          <w:szCs w:val="16"/>
          <w:lang w:val="de-DE"/>
        </w:rPr>
        <w:t>Gei</w:t>
      </w:r>
      <w:r w:rsidR="009D587A">
        <w:rPr>
          <w:rFonts w:asciiTheme="minorHAnsi" w:hAnsiTheme="minorHAnsi" w:cstheme="minorHAnsi"/>
          <w:sz w:val="16"/>
          <w:szCs w:val="16"/>
          <w:lang w:val="de-DE"/>
        </w:rPr>
        <w:t>sseler Law Freiburg in Br</w:t>
      </w:r>
    </w:p>
    <w:p w14:paraId="74484244" w14:textId="185BDABB" w:rsidR="00332928" w:rsidRPr="004A7C64" w:rsidRDefault="00332928" w:rsidP="001F1C20">
      <w:pPr>
        <w:pStyle w:val="Sansinterligne"/>
        <w:rPr>
          <w:rFonts w:asciiTheme="minorHAnsi" w:hAnsiTheme="minorHAnsi" w:cstheme="minorHAnsi"/>
          <w:sz w:val="16"/>
          <w:szCs w:val="16"/>
        </w:rPr>
      </w:pPr>
      <w:r w:rsidRPr="004A7C64">
        <w:rPr>
          <w:rFonts w:asciiTheme="minorHAnsi" w:hAnsiTheme="minorHAnsi" w:cstheme="minorHAnsi"/>
          <w:sz w:val="16"/>
          <w:szCs w:val="16"/>
        </w:rPr>
        <w:t xml:space="preserve">GOMEZ </w:t>
      </w:r>
      <w:r w:rsidR="00AA345D" w:rsidRPr="004A7C64">
        <w:rPr>
          <w:rFonts w:asciiTheme="minorHAnsi" w:hAnsiTheme="minorHAnsi" w:cstheme="minorHAnsi"/>
          <w:sz w:val="16"/>
          <w:szCs w:val="16"/>
        </w:rPr>
        <w:t>Éric</w:t>
      </w:r>
      <w:r w:rsidRPr="004A7C64">
        <w:rPr>
          <w:rFonts w:asciiTheme="minorHAnsi" w:hAnsiTheme="minorHAnsi" w:cstheme="minorHAnsi"/>
          <w:sz w:val="16"/>
          <w:szCs w:val="16"/>
        </w:rPr>
        <w:t xml:space="preserve"> BRGM</w:t>
      </w:r>
    </w:p>
    <w:p w14:paraId="16E303D7" w14:textId="41CE8C62" w:rsidR="002C70EF" w:rsidRPr="002D6B6E" w:rsidRDefault="002C70EF"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GOURBESVILLE Philippe Polytech-Nice</w:t>
      </w:r>
    </w:p>
    <w:p w14:paraId="2B2F1FB0" w14:textId="4FF1CEC2" w:rsidR="004154BD" w:rsidRPr="002D6B6E" w:rsidRDefault="004154B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GRANADOS Alfredo Politechnico Madrid</w:t>
      </w:r>
    </w:p>
    <w:p w14:paraId="12C8BD0E" w14:textId="66DE0909" w:rsidR="00240E9B" w:rsidRPr="002D6B6E" w:rsidRDefault="00240E9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ILMEN Rachid EHTP Casablanca</w:t>
      </w:r>
    </w:p>
    <w:p w14:paraId="6F0D916F" w14:textId="4EF84074" w:rsidR="00994314" w:rsidRPr="002D6B6E" w:rsidRDefault="00994314"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 xml:space="preserve">JIMENEZ-CISNEROS Blanca UNESCO PHI </w:t>
      </w:r>
    </w:p>
    <w:p w14:paraId="2912EA72" w14:textId="49DE7158" w:rsidR="003B6C57" w:rsidRPr="002D6B6E" w:rsidRDefault="003B6C57"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JORDAN Frédéric EPFL Lausanne</w:t>
      </w:r>
    </w:p>
    <w:p w14:paraId="73F903D8" w14:textId="6A451631" w:rsidR="00E5785B" w:rsidRPr="002D6B6E" w:rsidRDefault="00E5785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KETTAB Ahmed EP Alger</w:t>
      </w:r>
    </w:p>
    <w:p w14:paraId="7CEF9B19" w14:textId="453E0DD4" w:rsidR="00B411AE" w:rsidRPr="002D6B6E" w:rsidRDefault="00D91472"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KHALADI Ahmed CNR</w:t>
      </w:r>
    </w:p>
    <w:p w14:paraId="5D60ABE7" w14:textId="0C20C00D" w:rsidR="000D6B30" w:rsidRPr="002D6B6E" w:rsidRDefault="000D6B30"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KONE Soungalo ABN Niamey</w:t>
      </w:r>
    </w:p>
    <w:p w14:paraId="0C964541" w14:textId="515DDB9C" w:rsidR="00F203AD" w:rsidRPr="002D6B6E" w:rsidRDefault="00F203A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LANG</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Michel IRSTEA</w:t>
      </w:r>
    </w:p>
    <w:p w14:paraId="1CD3A60F" w14:textId="5407FC10" w:rsidR="00B411AE" w:rsidRPr="002D6B6E" w:rsidRDefault="004E0071"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LOUDIERE</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Daniel SHF</w:t>
      </w:r>
      <w:r w:rsidR="00347F08" w:rsidRPr="002D6B6E">
        <w:rPr>
          <w:rFonts w:asciiTheme="minorHAnsi" w:hAnsiTheme="minorHAnsi" w:cstheme="minorHAnsi"/>
          <w:sz w:val="16"/>
          <w:szCs w:val="16"/>
        </w:rPr>
        <w:t>, animateur du CS</w:t>
      </w:r>
    </w:p>
    <w:p w14:paraId="7E5FE212" w14:textId="3C1E0622" w:rsidR="00994314" w:rsidRPr="002D6B6E" w:rsidRDefault="00994314"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LYONS Evelyne Mines de Paris</w:t>
      </w:r>
    </w:p>
    <w:p w14:paraId="0DDA76C7" w14:textId="779F3FC4" w:rsidR="007C4471" w:rsidRPr="002D6B6E" w:rsidRDefault="007C4471"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MAGAND Claire AFB</w:t>
      </w:r>
    </w:p>
    <w:p w14:paraId="40127BAA" w14:textId="17C2BD05" w:rsidR="00AA345D" w:rsidRPr="002D6B6E" w:rsidRDefault="00AA345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MAHE Gil IRD</w:t>
      </w:r>
    </w:p>
    <w:p w14:paraId="46528C28" w14:textId="2140690E" w:rsidR="00F203AD" w:rsidRPr="002D6B6E" w:rsidRDefault="00F203A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MARTIN</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Marc-Antoine Académie de l’Eau</w:t>
      </w:r>
    </w:p>
    <w:p w14:paraId="73BDDEA4" w14:textId="0E4DD09C" w:rsidR="00943DEA" w:rsidRPr="002D6B6E" w:rsidRDefault="00943DEA"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 xml:space="preserve">MOLLE </w:t>
      </w:r>
      <w:r w:rsidR="00F91676" w:rsidRPr="002D6B6E">
        <w:rPr>
          <w:rFonts w:asciiTheme="minorHAnsi" w:hAnsiTheme="minorHAnsi" w:cstheme="minorHAnsi"/>
          <w:sz w:val="16"/>
          <w:szCs w:val="16"/>
        </w:rPr>
        <w:t>François IRD</w:t>
      </w:r>
    </w:p>
    <w:p w14:paraId="772FE823" w14:textId="0464C0B1" w:rsidR="002C70EF" w:rsidRPr="002D6B6E" w:rsidRDefault="002C70EF"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NAJEM Wajdi Université Saint-Joseph ESIB</w:t>
      </w:r>
    </w:p>
    <w:p w14:paraId="2840EBC4" w14:textId="3F0AF4B6" w:rsidR="00A645C4" w:rsidRPr="002D6B6E" w:rsidRDefault="00DB0EC1"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NGUYEN</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Bruno UNESCO PHI</w:t>
      </w:r>
    </w:p>
    <w:p w14:paraId="50F881FE" w14:textId="13963E1C" w:rsidR="00240E9B" w:rsidRPr="002D6B6E" w:rsidRDefault="00240E9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 xml:space="preserve">NOMBRE Adama </w:t>
      </w:r>
      <w:r w:rsidR="00D91472" w:rsidRPr="002D6B6E">
        <w:rPr>
          <w:rFonts w:asciiTheme="minorHAnsi" w:hAnsiTheme="minorHAnsi" w:cstheme="minorHAnsi"/>
          <w:sz w:val="16"/>
          <w:szCs w:val="16"/>
        </w:rPr>
        <w:t xml:space="preserve">Expert </w:t>
      </w:r>
      <w:r w:rsidRPr="002D6B6E">
        <w:rPr>
          <w:rFonts w:asciiTheme="minorHAnsi" w:hAnsiTheme="minorHAnsi" w:cstheme="minorHAnsi"/>
          <w:sz w:val="16"/>
          <w:szCs w:val="16"/>
        </w:rPr>
        <w:t>Burkina-Faso</w:t>
      </w:r>
    </w:p>
    <w:p w14:paraId="2E8CEEA5" w14:textId="227379AD" w:rsidR="00332928" w:rsidRPr="002D6B6E" w:rsidRDefault="00332928"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PERRIN Charles IRSTEA</w:t>
      </w:r>
    </w:p>
    <w:p w14:paraId="430FB53E" w14:textId="7E75D198" w:rsidR="002C70EF" w:rsidRPr="002D6B6E" w:rsidRDefault="002C70EF"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PROAG Virendra Université de Maurice</w:t>
      </w:r>
    </w:p>
    <w:p w14:paraId="6283691C" w14:textId="225AAD8E" w:rsidR="00332928" w:rsidRPr="002D6B6E" w:rsidRDefault="00332928"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REDAUD</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Jean-Luc PFE</w:t>
      </w:r>
    </w:p>
    <w:p w14:paraId="799E147A" w14:textId="74C80203" w:rsidR="00FB033C" w:rsidRPr="002D6B6E" w:rsidRDefault="00AE125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RIFFARD-CHENET Marine Tractebel Ingénierie</w:t>
      </w:r>
    </w:p>
    <w:p w14:paraId="38023277" w14:textId="65FEE7FF" w:rsidR="00DB0EC1" w:rsidRPr="002D6B6E" w:rsidRDefault="00DB0EC1"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RINAUDO Jean-Daniel BRGM</w:t>
      </w:r>
    </w:p>
    <w:p w14:paraId="08FA454F" w14:textId="2C38A462" w:rsidR="00AE4BA3" w:rsidRPr="00BE4400" w:rsidRDefault="00AE4BA3"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SANON Moussa INERA BF</w:t>
      </w:r>
    </w:p>
    <w:p w14:paraId="0A660559" w14:textId="12485A11" w:rsidR="00B411AE" w:rsidRPr="00BE4400" w:rsidRDefault="00B411AE"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 xml:space="preserve">SAUQUET </w:t>
      </w:r>
      <w:r w:rsidR="00646531" w:rsidRPr="00BE4400">
        <w:rPr>
          <w:rFonts w:asciiTheme="minorHAnsi" w:hAnsiTheme="minorHAnsi" w:cstheme="minorHAnsi"/>
          <w:sz w:val="16"/>
          <w:szCs w:val="16"/>
        </w:rPr>
        <w:t>Éric</w:t>
      </w:r>
      <w:r w:rsidRPr="00BE4400">
        <w:rPr>
          <w:rFonts w:asciiTheme="minorHAnsi" w:hAnsiTheme="minorHAnsi" w:cstheme="minorHAnsi"/>
          <w:sz w:val="16"/>
          <w:szCs w:val="16"/>
        </w:rPr>
        <w:t xml:space="preserve"> IRSTEA</w:t>
      </w:r>
    </w:p>
    <w:p w14:paraId="1AB0CD9E" w14:textId="02EB05F3" w:rsidR="002E5453" w:rsidRPr="00BE4400" w:rsidRDefault="00240E9B"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SAVATIER Jérémy ISL</w:t>
      </w:r>
    </w:p>
    <w:p w14:paraId="74A7B3CA" w14:textId="20416EB6" w:rsidR="002C70EF" w:rsidRPr="00BE4400" w:rsidRDefault="002C70EF"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 xml:space="preserve">SERVAT </w:t>
      </w:r>
      <w:r w:rsidR="00646531" w:rsidRPr="00BE4400">
        <w:rPr>
          <w:rFonts w:asciiTheme="minorHAnsi" w:hAnsiTheme="minorHAnsi" w:cstheme="minorHAnsi"/>
          <w:sz w:val="16"/>
          <w:szCs w:val="16"/>
        </w:rPr>
        <w:t>Éric</w:t>
      </w:r>
      <w:r w:rsidRPr="00BE4400">
        <w:rPr>
          <w:rFonts w:asciiTheme="minorHAnsi" w:hAnsiTheme="minorHAnsi" w:cstheme="minorHAnsi"/>
          <w:sz w:val="16"/>
          <w:szCs w:val="16"/>
        </w:rPr>
        <w:t xml:space="preserve"> IRD</w:t>
      </w:r>
      <w:r w:rsidR="002E5453" w:rsidRPr="00BE4400">
        <w:rPr>
          <w:rFonts w:asciiTheme="minorHAnsi" w:hAnsiTheme="minorHAnsi" w:cstheme="minorHAnsi"/>
          <w:sz w:val="16"/>
          <w:szCs w:val="16"/>
        </w:rPr>
        <w:t xml:space="preserve"> Montpellier</w:t>
      </w:r>
    </w:p>
    <w:p w14:paraId="78F173D7" w14:textId="4BBCE206" w:rsidR="00B11A49" w:rsidRPr="00BE4400" w:rsidRDefault="00B11A49"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SIGHOMNOU Daniel WMO-OMM</w:t>
      </w:r>
    </w:p>
    <w:p w14:paraId="7B3247E1" w14:textId="05633BA1" w:rsidR="002C70EF" w:rsidRPr="00BE4400" w:rsidRDefault="002C70EF"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SINAN Mohamed EHTP Casablanca</w:t>
      </w:r>
    </w:p>
    <w:p w14:paraId="68F14DB8" w14:textId="3D132448" w:rsidR="008A30C9" w:rsidRPr="00BE4400" w:rsidRDefault="002C70EF" w:rsidP="001F1C20">
      <w:pPr>
        <w:pStyle w:val="Sansinterligne"/>
        <w:rPr>
          <w:rFonts w:asciiTheme="minorHAnsi" w:hAnsiTheme="minorHAnsi" w:cstheme="minorHAnsi"/>
          <w:sz w:val="16"/>
          <w:szCs w:val="16"/>
        </w:rPr>
      </w:pPr>
      <w:r w:rsidRPr="00BE4400">
        <w:rPr>
          <w:rFonts w:asciiTheme="minorHAnsi" w:hAnsiTheme="minorHAnsi" w:cstheme="minorHAnsi"/>
          <w:sz w:val="16"/>
          <w:szCs w:val="16"/>
        </w:rPr>
        <w:t>SOUBEYROUX Jean-Michel Météo-</w:t>
      </w:r>
      <w:r w:rsidR="00AE4BA3" w:rsidRPr="00BE4400">
        <w:rPr>
          <w:rFonts w:asciiTheme="minorHAnsi" w:hAnsiTheme="minorHAnsi" w:cstheme="minorHAnsi"/>
          <w:sz w:val="16"/>
          <w:szCs w:val="16"/>
        </w:rPr>
        <w:t>France</w:t>
      </w:r>
    </w:p>
    <w:p w14:paraId="12E493B9" w14:textId="68DDA9AB" w:rsidR="00AE4BA3" w:rsidRPr="002D6B6E" w:rsidRDefault="00AE4BA3"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TAÏBI-FEDDAL Sabrina Université de Blida</w:t>
      </w:r>
    </w:p>
    <w:p w14:paraId="6FE72036" w14:textId="034DF699" w:rsidR="002C70EF" w:rsidRPr="002D6B6E" w:rsidRDefault="002C70EF" w:rsidP="001F1C20">
      <w:pPr>
        <w:pStyle w:val="Sansinterligne"/>
        <w:rPr>
          <w:rFonts w:asciiTheme="minorHAnsi" w:hAnsiTheme="minorHAnsi" w:cstheme="minorHAnsi"/>
          <w:sz w:val="16"/>
          <w:szCs w:val="16"/>
          <w:lang w:val="en-US"/>
        </w:rPr>
      </w:pPr>
      <w:r w:rsidRPr="002D6B6E">
        <w:rPr>
          <w:rFonts w:asciiTheme="minorHAnsi" w:hAnsiTheme="minorHAnsi" w:cstheme="minorHAnsi"/>
          <w:sz w:val="16"/>
          <w:szCs w:val="16"/>
          <w:lang w:val="en-US"/>
        </w:rPr>
        <w:t>TAR</w:t>
      </w:r>
      <w:r w:rsidR="00D91472" w:rsidRPr="002D6B6E">
        <w:rPr>
          <w:rFonts w:asciiTheme="minorHAnsi" w:hAnsiTheme="minorHAnsi" w:cstheme="minorHAnsi"/>
          <w:sz w:val="16"/>
          <w:szCs w:val="16"/>
          <w:lang w:val="en-US"/>
        </w:rPr>
        <w:t>H</w:t>
      </w:r>
      <w:r w:rsidRPr="002D6B6E">
        <w:rPr>
          <w:rFonts w:asciiTheme="minorHAnsi" w:hAnsiTheme="minorHAnsi" w:cstheme="minorHAnsi"/>
          <w:sz w:val="16"/>
          <w:szCs w:val="16"/>
          <w:lang w:val="en-US"/>
        </w:rPr>
        <w:t>OUNI Jamila INAT Tunis</w:t>
      </w:r>
    </w:p>
    <w:p w14:paraId="3D281532" w14:textId="3D3EBA97" w:rsidR="00240E9B" w:rsidRPr="002D6B6E" w:rsidRDefault="00240E9B" w:rsidP="001F1C20">
      <w:pPr>
        <w:pStyle w:val="Sansinterligne"/>
        <w:rPr>
          <w:rFonts w:asciiTheme="minorHAnsi" w:hAnsiTheme="minorHAnsi" w:cstheme="minorHAnsi"/>
          <w:sz w:val="16"/>
          <w:szCs w:val="16"/>
          <w:lang w:val="en-US"/>
        </w:rPr>
      </w:pPr>
      <w:r w:rsidRPr="002D6B6E">
        <w:rPr>
          <w:rFonts w:asciiTheme="minorHAnsi" w:hAnsiTheme="minorHAnsi" w:cstheme="minorHAnsi"/>
          <w:sz w:val="16"/>
          <w:szCs w:val="16"/>
          <w:lang w:val="en-US"/>
        </w:rPr>
        <w:t>THEPOT Régis Expert</w:t>
      </w:r>
    </w:p>
    <w:p w14:paraId="4CD54897" w14:textId="41FF3499" w:rsidR="00332928" w:rsidRPr="002D6B6E" w:rsidRDefault="00332928" w:rsidP="001F1C20">
      <w:pPr>
        <w:pStyle w:val="Sansinterligne"/>
        <w:rPr>
          <w:rFonts w:asciiTheme="minorHAnsi" w:hAnsiTheme="minorHAnsi" w:cstheme="minorHAnsi"/>
          <w:sz w:val="16"/>
          <w:szCs w:val="16"/>
          <w:lang w:val="en-US"/>
        </w:rPr>
      </w:pPr>
      <w:r w:rsidRPr="002D6B6E">
        <w:rPr>
          <w:rFonts w:asciiTheme="minorHAnsi" w:hAnsiTheme="minorHAnsi" w:cstheme="minorHAnsi"/>
          <w:sz w:val="16"/>
          <w:szCs w:val="16"/>
          <w:lang w:val="en-US"/>
        </w:rPr>
        <w:t>THOUIN Catherine</w:t>
      </w:r>
      <w:r w:rsidR="00103E30" w:rsidRPr="002D6B6E">
        <w:rPr>
          <w:rFonts w:asciiTheme="minorHAnsi" w:hAnsiTheme="minorHAnsi" w:cstheme="minorHAnsi"/>
          <w:sz w:val="16"/>
          <w:szCs w:val="16"/>
          <w:lang w:val="en-US"/>
        </w:rPr>
        <w:t xml:space="preserve"> CFH</w:t>
      </w:r>
    </w:p>
    <w:p w14:paraId="7691A340" w14:textId="1AC2F810" w:rsidR="00F0524B" w:rsidRPr="002D6B6E" w:rsidRDefault="00F0524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TOUA</w:t>
      </w:r>
      <w:r w:rsidR="00FB033C" w:rsidRPr="002D6B6E">
        <w:rPr>
          <w:rFonts w:asciiTheme="minorHAnsi" w:hAnsiTheme="minorHAnsi" w:cstheme="minorHAnsi"/>
          <w:sz w:val="16"/>
          <w:szCs w:val="16"/>
        </w:rPr>
        <w:t>Ï</w:t>
      </w:r>
      <w:r w:rsidRPr="002D6B6E">
        <w:rPr>
          <w:rFonts w:asciiTheme="minorHAnsi" w:hAnsiTheme="minorHAnsi" w:cstheme="minorHAnsi"/>
          <w:sz w:val="16"/>
          <w:szCs w:val="16"/>
        </w:rPr>
        <w:t>BIA Benina E</w:t>
      </w:r>
      <w:r w:rsidR="00FB033C" w:rsidRPr="002D6B6E">
        <w:rPr>
          <w:rFonts w:asciiTheme="minorHAnsi" w:hAnsiTheme="minorHAnsi" w:cstheme="minorHAnsi"/>
          <w:sz w:val="16"/>
          <w:szCs w:val="16"/>
        </w:rPr>
        <w:t>N</w:t>
      </w:r>
      <w:r w:rsidRPr="002D6B6E">
        <w:rPr>
          <w:rFonts w:asciiTheme="minorHAnsi" w:hAnsiTheme="minorHAnsi" w:cstheme="minorHAnsi"/>
          <w:sz w:val="16"/>
          <w:szCs w:val="16"/>
        </w:rPr>
        <w:t>SH Blida</w:t>
      </w:r>
    </w:p>
    <w:p w14:paraId="44B349B7" w14:textId="7A1657D3" w:rsidR="00AE4BA3" w:rsidRPr="002D6B6E" w:rsidRDefault="00AE4BA3"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TRAMBLAY Yves IRD Montpellier</w:t>
      </w:r>
    </w:p>
    <w:p w14:paraId="463427CC" w14:textId="16CD0AEC" w:rsidR="00874695" w:rsidRPr="002D6B6E" w:rsidRDefault="00874695"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TREYER Sébastie</w:t>
      </w:r>
      <w:r w:rsidR="005C3548" w:rsidRPr="002D6B6E">
        <w:rPr>
          <w:rFonts w:asciiTheme="minorHAnsi" w:hAnsiTheme="minorHAnsi" w:cstheme="minorHAnsi"/>
          <w:sz w:val="16"/>
          <w:szCs w:val="16"/>
        </w:rPr>
        <w:t>n IDDRI</w:t>
      </w:r>
    </w:p>
    <w:p w14:paraId="6600E29C" w14:textId="6AE54A3E" w:rsidR="00240E9B" w:rsidRPr="002D6B6E" w:rsidRDefault="00240E9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TRICOT Christian Météo-Belgique</w:t>
      </w:r>
    </w:p>
    <w:p w14:paraId="72C75B58" w14:textId="0BC0E659" w:rsidR="00F203AD" w:rsidRPr="002D6B6E" w:rsidRDefault="00F203A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VERDIER</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Jean AFEID</w:t>
      </w:r>
    </w:p>
    <w:p w14:paraId="2DD56A74" w14:textId="77777777" w:rsidR="007526CB" w:rsidRPr="002D6B6E" w:rsidRDefault="007526CB" w:rsidP="007526CB">
      <w:pPr>
        <w:pStyle w:val="Sansinterligne"/>
        <w:rPr>
          <w:rFonts w:asciiTheme="minorHAnsi" w:hAnsiTheme="minorHAnsi" w:cstheme="minorHAnsi"/>
          <w:sz w:val="16"/>
          <w:szCs w:val="16"/>
        </w:rPr>
      </w:pPr>
      <w:r>
        <w:rPr>
          <w:rFonts w:asciiTheme="minorHAnsi" w:hAnsiTheme="minorHAnsi" w:cstheme="minorHAnsi"/>
          <w:sz w:val="16"/>
          <w:szCs w:val="16"/>
        </w:rPr>
        <w:t>VINCEN Marc</w:t>
      </w:r>
      <w:r w:rsidRPr="002D6B6E">
        <w:rPr>
          <w:rFonts w:asciiTheme="minorHAnsi" w:hAnsiTheme="minorHAnsi" w:cstheme="minorHAnsi"/>
          <w:sz w:val="16"/>
          <w:szCs w:val="16"/>
        </w:rPr>
        <w:t xml:space="preserve"> EPTB Seine Grands Lacs</w:t>
      </w:r>
    </w:p>
    <w:p w14:paraId="05B49E37" w14:textId="02519BEF" w:rsidR="00F203AD" w:rsidRPr="002D6B6E" w:rsidRDefault="00F203AD"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VIOLLET</w:t>
      </w:r>
      <w:r w:rsidR="00AA453E" w:rsidRPr="002D6B6E">
        <w:rPr>
          <w:rFonts w:asciiTheme="minorHAnsi" w:hAnsiTheme="minorHAnsi" w:cstheme="minorHAnsi"/>
          <w:sz w:val="16"/>
          <w:szCs w:val="16"/>
        </w:rPr>
        <w:t>*</w:t>
      </w:r>
      <w:r w:rsidRPr="002D6B6E">
        <w:rPr>
          <w:rFonts w:asciiTheme="minorHAnsi" w:hAnsiTheme="minorHAnsi" w:cstheme="minorHAnsi"/>
          <w:sz w:val="16"/>
          <w:szCs w:val="16"/>
        </w:rPr>
        <w:t xml:space="preserve"> Pierre-Louis SHF</w:t>
      </w:r>
    </w:p>
    <w:p w14:paraId="21DE3AE7" w14:textId="3CD3A2CB" w:rsidR="00B411AE" w:rsidRPr="002D6B6E" w:rsidRDefault="00F0524B" w:rsidP="001F1C20">
      <w:pPr>
        <w:pStyle w:val="Sansinterligne"/>
        <w:rPr>
          <w:rFonts w:asciiTheme="minorHAnsi" w:hAnsiTheme="minorHAnsi" w:cstheme="minorHAnsi"/>
          <w:sz w:val="16"/>
          <w:szCs w:val="16"/>
        </w:rPr>
      </w:pPr>
      <w:r w:rsidRPr="002D6B6E">
        <w:rPr>
          <w:rFonts w:asciiTheme="minorHAnsi" w:hAnsiTheme="minorHAnsi" w:cstheme="minorHAnsi"/>
          <w:sz w:val="16"/>
          <w:szCs w:val="16"/>
        </w:rPr>
        <w:t>YA</w:t>
      </w:r>
      <w:r w:rsidR="00D91472" w:rsidRPr="002D6B6E">
        <w:rPr>
          <w:rFonts w:asciiTheme="minorHAnsi" w:hAnsiTheme="minorHAnsi" w:cstheme="minorHAnsi"/>
          <w:sz w:val="16"/>
          <w:szCs w:val="16"/>
        </w:rPr>
        <w:t>C</w:t>
      </w:r>
      <w:r w:rsidRPr="002D6B6E">
        <w:rPr>
          <w:rFonts w:asciiTheme="minorHAnsi" w:hAnsiTheme="minorHAnsi" w:cstheme="minorHAnsi"/>
          <w:sz w:val="16"/>
          <w:szCs w:val="16"/>
        </w:rPr>
        <w:t>OUBA Hamma 2IE BF</w:t>
      </w:r>
    </w:p>
    <w:p w14:paraId="2E19E6DF" w14:textId="5C35A484" w:rsidR="00F0524B" w:rsidRDefault="00F0524B" w:rsidP="00127443">
      <w:pPr>
        <w:sectPr w:rsidR="00F0524B" w:rsidSect="00B411AE">
          <w:type w:val="continuous"/>
          <w:pgSz w:w="11906" w:h="16838"/>
          <w:pgMar w:top="1417" w:right="1417" w:bottom="1417" w:left="1417" w:header="708" w:footer="708" w:gutter="0"/>
          <w:cols w:num="2" w:space="708"/>
          <w:docGrid w:linePitch="360"/>
        </w:sectPr>
      </w:pPr>
    </w:p>
    <w:p w14:paraId="6CFEC9EB" w14:textId="77777777" w:rsidR="009D587A" w:rsidRDefault="009D587A" w:rsidP="00815E8F"/>
    <w:p w14:paraId="4419D383" w14:textId="004E857C" w:rsidR="000A7AF8" w:rsidRDefault="00AE125D" w:rsidP="004A7C64">
      <w:r w:rsidRPr="00596208">
        <w:rPr>
          <w:b/>
        </w:rPr>
        <w:t>Esquisse de calendrier</w:t>
      </w:r>
      <w:r w:rsidR="00384039">
        <w:t xml:space="preserve"> </w:t>
      </w:r>
    </w:p>
    <w:p w14:paraId="03AAFB5F" w14:textId="7A474B13" w:rsidR="00AE125D" w:rsidRDefault="00943DEA" w:rsidP="001F1C20">
      <w:pPr>
        <w:pStyle w:val="Sansinterligne"/>
      </w:pPr>
      <w:r>
        <w:t>Déc</w:t>
      </w:r>
      <w:r w:rsidR="00AE125D">
        <w:t>embre 2018 : réception des résumés des communications proposées</w:t>
      </w:r>
    </w:p>
    <w:p w14:paraId="478AF9A4" w14:textId="416DAD2A" w:rsidR="00AE125D" w:rsidRDefault="00AE125D" w:rsidP="001F1C20">
      <w:pPr>
        <w:pStyle w:val="Sansinterligne"/>
      </w:pPr>
      <w:r>
        <w:t>Janvier 2019 examen des résumés (CS)</w:t>
      </w:r>
      <w:r w:rsidR="004A7C64">
        <w:t>.</w:t>
      </w:r>
      <w:r>
        <w:t xml:space="preserve"> </w:t>
      </w:r>
      <w:r w:rsidR="009D587A">
        <w:t xml:space="preserve">Février 2019 </w:t>
      </w:r>
      <w:r w:rsidR="00401051">
        <w:t>retour vers les auteurs</w:t>
      </w:r>
      <w:r w:rsidR="009D587A">
        <w:t xml:space="preserve"> (acceptation)</w:t>
      </w:r>
    </w:p>
    <w:p w14:paraId="1A664279" w14:textId="777012D5" w:rsidR="00AE125D" w:rsidRDefault="00943DEA" w:rsidP="001F1C20">
      <w:pPr>
        <w:pStyle w:val="Sansinterligne"/>
      </w:pPr>
      <w:r>
        <w:t>Mai</w:t>
      </w:r>
      <w:r w:rsidR="00B757F8">
        <w:t xml:space="preserve"> 2019, r</w:t>
      </w:r>
      <w:r w:rsidR="00AE125D">
        <w:t xml:space="preserve">éception des propositions de communications écrites </w:t>
      </w:r>
      <w:r w:rsidR="00015A08">
        <w:t>et examen par les membres du CS</w:t>
      </w:r>
    </w:p>
    <w:p w14:paraId="7661EB82" w14:textId="06F4B3CE" w:rsidR="00AE125D" w:rsidRDefault="00943DEA" w:rsidP="001F1C20">
      <w:pPr>
        <w:pStyle w:val="Sansinterligne"/>
      </w:pPr>
      <w:r>
        <w:t>Juillet</w:t>
      </w:r>
      <w:r w:rsidR="00B757F8">
        <w:t xml:space="preserve"> 2019, m</w:t>
      </w:r>
      <w:r w:rsidR="00AE125D">
        <w:t xml:space="preserve">ise au point </w:t>
      </w:r>
      <w:r w:rsidR="00B757F8">
        <w:t xml:space="preserve">des communications terminée </w:t>
      </w:r>
      <w:r w:rsidR="00AE125D">
        <w:t>après relecture par des membres du CS</w:t>
      </w:r>
      <w:r w:rsidR="00596208">
        <w:t xml:space="preserve"> </w:t>
      </w:r>
    </w:p>
    <w:p w14:paraId="207AC7E0" w14:textId="7A33270E" w:rsidR="00B757F8" w:rsidRDefault="00B757F8" w:rsidP="001F1C20">
      <w:pPr>
        <w:pStyle w:val="Sansinterligne"/>
      </w:pPr>
      <w:r>
        <w:t>Mi-</w:t>
      </w:r>
      <w:r w:rsidR="00943DEA">
        <w:t>octobre</w:t>
      </w:r>
      <w:r>
        <w:t>, remise aux animateurs de sessions des présentations PPT</w:t>
      </w:r>
    </w:p>
    <w:p w14:paraId="50E5D5E7" w14:textId="438C822D" w:rsidR="00F91676" w:rsidRDefault="00994314" w:rsidP="00860B63">
      <w:pPr>
        <w:pStyle w:val="Sansinterligne"/>
      </w:pPr>
      <w:r>
        <w:t>Novem</w:t>
      </w:r>
      <w:r w:rsidR="00B757F8">
        <w:t>bre</w:t>
      </w:r>
      <w:r w:rsidR="004A7C64">
        <w:t xml:space="preserve"> </w:t>
      </w:r>
      <w:r w:rsidR="00B757F8">
        <w:t>2019, t</w:t>
      </w:r>
      <w:r w:rsidR="00596208">
        <w:t>enue du colloque</w:t>
      </w:r>
      <w:r w:rsidR="00B757F8">
        <w:t>.</w:t>
      </w:r>
    </w:p>
    <w:p w14:paraId="348E30A9" w14:textId="77777777" w:rsidR="00860B63" w:rsidRDefault="00860B63" w:rsidP="00860B63">
      <w:pPr>
        <w:pStyle w:val="Sansinterligne"/>
      </w:pPr>
    </w:p>
    <w:p w14:paraId="7285BDA0" w14:textId="2CEB88AA" w:rsidR="00E66A64" w:rsidRDefault="00860B63" w:rsidP="00127443">
      <w:pPr>
        <w:rPr>
          <w:b/>
        </w:rPr>
      </w:pPr>
      <w:r>
        <w:rPr>
          <w:b/>
        </w:rPr>
        <w:t xml:space="preserve">Autres </w:t>
      </w:r>
      <w:r w:rsidR="00F91676" w:rsidRPr="00860B63">
        <w:rPr>
          <w:b/>
        </w:rPr>
        <w:t>Partenaires</w:t>
      </w:r>
      <w:r w:rsidR="003330B8">
        <w:rPr>
          <w:b/>
        </w:rPr>
        <w:t xml:space="preserve"> </w:t>
      </w:r>
      <w:r w:rsidR="003330B8">
        <w:t xml:space="preserve">Un réseau partenarial très large avec au premier rang, AFEID, Académie de l’Eau, PFE, OIEau, AFB, IRD et IRSTEA et aussi OMM, AIRH, AISH, IWRA, UISF, MTES, AE, BRGM, IFSTTAR, AFD, </w:t>
      </w:r>
      <w:r w:rsidR="00815E8F">
        <w:t xml:space="preserve">ARCEAU, </w:t>
      </w:r>
      <w:r w:rsidR="003330B8">
        <w:t>ASTEE, AFPCN, CNFSH, CFH et Echanges Med</w:t>
      </w:r>
    </w:p>
    <w:p w14:paraId="786105BE" w14:textId="5C83CE25" w:rsidR="00F91676" w:rsidRPr="00E66A64" w:rsidRDefault="00E66A64" w:rsidP="00127443">
      <w:pPr>
        <w:rPr>
          <w:b/>
        </w:rPr>
      </w:pPr>
      <w:r>
        <w:rPr>
          <w:noProof/>
        </w:rPr>
        <w:t xml:space="preserve">  </w:t>
      </w:r>
      <w:r>
        <w:rPr>
          <w:noProof/>
        </w:rPr>
        <w:drawing>
          <wp:inline distT="0" distB="0" distL="0" distR="0" wp14:anchorId="09E39455" wp14:editId="71E7FEFB">
            <wp:extent cx="945715" cy="450850"/>
            <wp:effectExtent l="0" t="0" r="6985"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031" cy="470546"/>
                    </a:xfrm>
                    <a:prstGeom prst="rect">
                      <a:avLst/>
                    </a:prstGeom>
                    <a:noFill/>
                    <a:ln>
                      <a:noFill/>
                    </a:ln>
                  </pic:spPr>
                </pic:pic>
              </a:graphicData>
            </a:graphic>
          </wp:inline>
        </w:drawing>
      </w:r>
      <w:r>
        <w:rPr>
          <w:noProof/>
        </w:rPr>
        <w:t xml:space="preserve">      </w:t>
      </w:r>
      <w:r w:rsidR="00973C51">
        <w:rPr>
          <w:noProof/>
        </w:rPr>
        <w:drawing>
          <wp:inline distT="0" distB="0" distL="0" distR="0" wp14:anchorId="166CB6E4" wp14:editId="41062F0E">
            <wp:extent cx="542925" cy="5429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7A4F32">
        <w:t xml:space="preserve">  </w:t>
      </w:r>
      <w:r>
        <w:t xml:space="preserve">  </w:t>
      </w:r>
      <w:r w:rsidR="00973C51">
        <w:rPr>
          <w:noProof/>
        </w:rPr>
        <w:t xml:space="preserve">   </w:t>
      </w:r>
      <w:r w:rsidR="00973C51">
        <w:rPr>
          <w:noProof/>
        </w:rPr>
        <w:drawing>
          <wp:inline distT="0" distB="0" distL="0" distR="0" wp14:anchorId="63B97D32" wp14:editId="5E04E425">
            <wp:extent cx="1464246" cy="68580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AHR_logo.jpg"/>
                    <pic:cNvPicPr/>
                  </pic:nvPicPr>
                  <pic:blipFill>
                    <a:blip r:embed="rId18"/>
                    <a:stretch>
                      <a:fillRect/>
                    </a:stretch>
                  </pic:blipFill>
                  <pic:spPr>
                    <a:xfrm>
                      <a:off x="0" y="0"/>
                      <a:ext cx="1515195" cy="709663"/>
                    </a:xfrm>
                    <a:prstGeom prst="rect">
                      <a:avLst/>
                    </a:prstGeom>
                  </pic:spPr>
                </pic:pic>
              </a:graphicData>
            </a:graphic>
          </wp:inline>
        </w:drawing>
      </w:r>
      <w:r w:rsidR="00973C51">
        <w:rPr>
          <w:noProof/>
        </w:rPr>
        <w:t xml:space="preserve"> </w:t>
      </w:r>
      <w:r>
        <w:rPr>
          <w:noProof/>
        </w:rPr>
        <w:drawing>
          <wp:inline distT="0" distB="0" distL="0" distR="0" wp14:anchorId="5CE680A9" wp14:editId="4BC1C160">
            <wp:extent cx="980255" cy="65692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192" cy="686371"/>
                    </a:xfrm>
                    <a:prstGeom prst="rect">
                      <a:avLst/>
                    </a:prstGeom>
                    <a:noFill/>
                    <a:ln>
                      <a:noFill/>
                    </a:ln>
                  </pic:spPr>
                </pic:pic>
              </a:graphicData>
            </a:graphic>
          </wp:inline>
        </w:drawing>
      </w:r>
      <w:r w:rsidR="00973C51">
        <w:rPr>
          <w:noProof/>
        </w:rPr>
        <w:t xml:space="preserve"> </w:t>
      </w:r>
      <w:r w:rsidR="006D0990">
        <w:rPr>
          <w:noProof/>
        </w:rPr>
        <w:t xml:space="preserve">    </w:t>
      </w:r>
      <w:r w:rsidR="00973C51">
        <w:rPr>
          <w:b/>
          <w:noProof/>
        </w:rPr>
        <w:drawing>
          <wp:inline distT="0" distB="0" distL="0" distR="0" wp14:anchorId="0DAFB7DF" wp14:editId="000F2E5A">
            <wp:extent cx="697463" cy="825500"/>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wralogo.jpg"/>
                    <pic:cNvPicPr/>
                  </pic:nvPicPr>
                  <pic:blipFill>
                    <a:blip r:embed="rId20"/>
                    <a:stretch>
                      <a:fillRect/>
                    </a:stretch>
                  </pic:blipFill>
                  <pic:spPr>
                    <a:xfrm>
                      <a:off x="0" y="0"/>
                      <a:ext cx="721404" cy="853836"/>
                    </a:xfrm>
                    <a:prstGeom prst="rect">
                      <a:avLst/>
                    </a:prstGeom>
                  </pic:spPr>
                </pic:pic>
              </a:graphicData>
            </a:graphic>
          </wp:inline>
        </w:drawing>
      </w:r>
    </w:p>
    <w:p w14:paraId="2580AB1A" w14:textId="5430C39C" w:rsidR="00F91676" w:rsidRDefault="00F91676" w:rsidP="00127443"/>
    <w:p w14:paraId="052C2E96" w14:textId="53DBE44C" w:rsidR="00F91676" w:rsidRDefault="00F91676" w:rsidP="00127443">
      <w:r>
        <w:rPr>
          <w:noProof/>
        </w:rPr>
        <w:drawing>
          <wp:inline distT="0" distB="0" distL="0" distR="0" wp14:anchorId="2F5D6085" wp14:editId="78A0148F">
            <wp:extent cx="666750" cy="647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r>
        <w:tab/>
      </w:r>
      <w:r w:rsidR="00BE2475">
        <w:t xml:space="preserve"> </w:t>
      </w:r>
      <w:r w:rsidR="00BE2475">
        <w:rPr>
          <w:noProof/>
        </w:rPr>
        <w:t xml:space="preserve"> </w:t>
      </w:r>
      <w:r w:rsidR="001E7318">
        <w:rPr>
          <w:noProof/>
        </w:rPr>
        <w:drawing>
          <wp:inline distT="0" distB="0" distL="0" distR="0" wp14:anchorId="35D215DF" wp14:editId="0DDACA06">
            <wp:extent cx="733425" cy="714714"/>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630" cy="749021"/>
                    </a:xfrm>
                    <a:prstGeom prst="rect">
                      <a:avLst/>
                    </a:prstGeom>
                    <a:noFill/>
                    <a:ln>
                      <a:noFill/>
                    </a:ln>
                  </pic:spPr>
                </pic:pic>
              </a:graphicData>
            </a:graphic>
          </wp:inline>
        </w:drawing>
      </w:r>
      <w:r>
        <w:tab/>
      </w:r>
      <w:r>
        <w:rPr>
          <w:noProof/>
        </w:rPr>
        <w:drawing>
          <wp:inline distT="0" distB="0" distL="0" distR="0" wp14:anchorId="023E5250" wp14:editId="7F5D13CD">
            <wp:extent cx="971550" cy="47053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821" cy="479868"/>
                    </a:xfrm>
                    <a:prstGeom prst="rect">
                      <a:avLst/>
                    </a:prstGeom>
                    <a:noFill/>
                    <a:ln>
                      <a:noFill/>
                    </a:ln>
                  </pic:spPr>
                </pic:pic>
              </a:graphicData>
            </a:graphic>
          </wp:inline>
        </w:drawing>
      </w:r>
      <w:r w:rsidR="00E66A64">
        <w:rPr>
          <w:noProof/>
        </w:rPr>
        <w:t xml:space="preserve"> </w:t>
      </w:r>
      <w:r w:rsidR="00407DDA">
        <w:rPr>
          <w:noProof/>
        </w:rPr>
        <w:drawing>
          <wp:inline distT="0" distB="0" distL="0" distR="0" wp14:anchorId="193D4521" wp14:editId="039D6E9C">
            <wp:extent cx="1171575" cy="628015"/>
            <wp:effectExtent l="0" t="0" r="952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2615" cy="633933"/>
                    </a:xfrm>
                    <a:prstGeom prst="rect">
                      <a:avLst/>
                    </a:prstGeom>
                    <a:noFill/>
                    <a:ln>
                      <a:noFill/>
                    </a:ln>
                  </pic:spPr>
                </pic:pic>
              </a:graphicData>
            </a:graphic>
          </wp:inline>
        </w:drawing>
      </w:r>
      <w:r w:rsidR="00E66A64">
        <w:t xml:space="preserve"> </w:t>
      </w:r>
      <w:r w:rsidR="00E66A64" w:rsidRPr="00E66A64">
        <w:rPr>
          <w:noProof/>
        </w:rPr>
        <w:drawing>
          <wp:inline distT="0" distB="0" distL="0" distR="0" wp14:anchorId="6DB0E037" wp14:editId="6DAE6647">
            <wp:extent cx="1595755" cy="723743"/>
            <wp:effectExtent l="0" t="0" r="4445" b="635"/>
            <wp:docPr id="18" name="Image 18" descr="G:\SHF\Colloques2019\Sécheresse2019\Logos\Nouv_AFB-logoprovisoire_1406_72dpi_RVB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F\Colloques2019\Sécheresse2019\Logos\Nouv_AFB-logoprovisoire_1406_72dpi_RVB WE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5703" cy="741861"/>
                    </a:xfrm>
                    <a:prstGeom prst="rect">
                      <a:avLst/>
                    </a:prstGeom>
                    <a:noFill/>
                    <a:ln>
                      <a:noFill/>
                    </a:ln>
                  </pic:spPr>
                </pic:pic>
              </a:graphicData>
            </a:graphic>
          </wp:inline>
        </w:drawing>
      </w:r>
    </w:p>
    <w:p w14:paraId="30E10918" w14:textId="77777777" w:rsidR="001E7318" w:rsidRDefault="001E7318" w:rsidP="00F73390">
      <w:pPr>
        <w:ind w:left="1418" w:hanging="1982"/>
      </w:pPr>
      <w:r>
        <w:rPr>
          <w:noProof/>
        </w:rPr>
        <w:drawing>
          <wp:inline distT="0" distB="0" distL="0" distR="0" wp14:anchorId="52C96551" wp14:editId="1340BD54">
            <wp:extent cx="1178442" cy="723900"/>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4393" cy="727555"/>
                    </a:xfrm>
                    <a:prstGeom prst="rect">
                      <a:avLst/>
                    </a:prstGeom>
                    <a:noFill/>
                    <a:ln>
                      <a:noFill/>
                    </a:ln>
                  </pic:spPr>
                </pic:pic>
              </a:graphicData>
            </a:graphic>
          </wp:inline>
        </w:drawing>
      </w:r>
      <w:r>
        <w:t xml:space="preserve"> </w:t>
      </w:r>
      <w:r w:rsidR="00407DDA">
        <w:tab/>
      </w:r>
      <w:r>
        <w:rPr>
          <w:noProof/>
        </w:rPr>
        <w:drawing>
          <wp:inline distT="0" distB="0" distL="0" distR="0" wp14:anchorId="711198E5" wp14:editId="4B237204">
            <wp:extent cx="1000125" cy="889992"/>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RCEAU_CMJN_HD - copie.jpg"/>
                    <pic:cNvPicPr/>
                  </pic:nvPicPr>
                  <pic:blipFill>
                    <a:blip r:embed="rId27"/>
                    <a:stretch>
                      <a:fillRect/>
                    </a:stretch>
                  </pic:blipFill>
                  <pic:spPr>
                    <a:xfrm>
                      <a:off x="0" y="0"/>
                      <a:ext cx="1022024" cy="909480"/>
                    </a:xfrm>
                    <a:prstGeom prst="rect">
                      <a:avLst/>
                    </a:prstGeom>
                  </pic:spPr>
                </pic:pic>
              </a:graphicData>
            </a:graphic>
          </wp:inline>
        </w:drawing>
      </w:r>
      <w:r>
        <w:rPr>
          <w:noProof/>
        </w:rPr>
        <w:t xml:space="preserve">    </w:t>
      </w:r>
      <w:r>
        <w:rPr>
          <w:noProof/>
        </w:rPr>
        <w:drawing>
          <wp:inline distT="0" distB="0" distL="0" distR="0" wp14:anchorId="0B920FF8" wp14:editId="7D7B5164">
            <wp:extent cx="838200" cy="734221"/>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115" cy="754293"/>
                    </a:xfrm>
                    <a:prstGeom prst="rect">
                      <a:avLst/>
                    </a:prstGeom>
                    <a:noFill/>
                    <a:ln>
                      <a:noFill/>
                    </a:ln>
                  </pic:spPr>
                </pic:pic>
              </a:graphicData>
            </a:graphic>
          </wp:inline>
        </w:drawing>
      </w:r>
      <w:r>
        <w:rPr>
          <w:rFonts w:ascii="Comic Sans MS" w:eastAsia="Times New Roman" w:hAnsi="Comic Sans MS"/>
          <w:noProof/>
          <w:sz w:val="24"/>
          <w:szCs w:val="20"/>
          <w:lang w:eastAsia="ar-SA"/>
        </w:rPr>
        <w:t xml:space="preserve">    </w:t>
      </w:r>
      <w:r w:rsidR="009479C9" w:rsidRPr="00407DDA">
        <w:rPr>
          <w:rFonts w:ascii="Comic Sans MS" w:eastAsia="Times New Roman" w:hAnsi="Comic Sans MS"/>
          <w:noProof/>
          <w:sz w:val="24"/>
          <w:szCs w:val="20"/>
          <w:lang w:eastAsia="ar-SA"/>
        </w:rPr>
        <w:drawing>
          <wp:inline distT="0" distB="0" distL="0" distR="0" wp14:anchorId="63C518C0" wp14:editId="25E346B4">
            <wp:extent cx="695325" cy="9165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9853" cy="922534"/>
                    </a:xfrm>
                    <a:prstGeom prst="rect">
                      <a:avLst/>
                    </a:prstGeom>
                    <a:solidFill>
                      <a:srgbClr val="FFFFFF"/>
                    </a:solidFill>
                    <a:ln>
                      <a:noFill/>
                    </a:ln>
                  </pic:spPr>
                </pic:pic>
              </a:graphicData>
            </a:graphic>
          </wp:inline>
        </w:drawing>
      </w:r>
      <w:r w:rsidR="00F73390">
        <w:rPr>
          <w:noProof/>
        </w:rPr>
        <w:t xml:space="preserve"> </w:t>
      </w:r>
      <w:r>
        <w:rPr>
          <w:noProof/>
        </w:rPr>
        <w:t xml:space="preserve">  </w:t>
      </w:r>
      <w:r w:rsidR="00F73390">
        <w:rPr>
          <w:noProof/>
        </w:rPr>
        <w:t xml:space="preserve"> </w:t>
      </w:r>
      <w:r>
        <w:rPr>
          <w:noProof/>
        </w:rPr>
        <w:t xml:space="preserve">      </w:t>
      </w:r>
      <w:r w:rsidR="00F73390">
        <w:rPr>
          <w:noProof/>
        </w:rPr>
        <w:t xml:space="preserve">  </w:t>
      </w:r>
      <w:r w:rsidR="00407DDA">
        <w:rPr>
          <w:noProof/>
        </w:rPr>
        <w:drawing>
          <wp:inline distT="0" distB="0" distL="0" distR="0" wp14:anchorId="5FE3D4B0" wp14:editId="1993794B">
            <wp:extent cx="1409700" cy="781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989" cy="800602"/>
                    </a:xfrm>
                    <a:prstGeom prst="rect">
                      <a:avLst/>
                    </a:prstGeom>
                    <a:noFill/>
                    <a:ln>
                      <a:noFill/>
                    </a:ln>
                  </pic:spPr>
                </pic:pic>
              </a:graphicData>
            </a:graphic>
          </wp:inline>
        </w:drawing>
      </w:r>
      <w:r w:rsidR="00BE2475">
        <w:t xml:space="preserve"> </w:t>
      </w:r>
    </w:p>
    <w:p w14:paraId="0201F901" w14:textId="5F638511" w:rsidR="002D6B6E" w:rsidRDefault="00BE2475" w:rsidP="004A7C64">
      <w:pPr>
        <w:ind w:left="4250" w:firstLine="706"/>
      </w:pPr>
      <w:r>
        <w:t>Echanges Med</w:t>
      </w:r>
    </w:p>
    <w:sectPr w:rsidR="002D6B6E" w:rsidSect="006D78A4">
      <w:type w:val="continuous"/>
      <w:pgSz w:w="11906" w:h="16838"/>
      <w:pgMar w:top="1135"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B2C9A" w14:textId="77777777" w:rsidR="0052513C" w:rsidRDefault="0052513C" w:rsidP="005C3548">
      <w:pPr>
        <w:spacing w:after="0" w:line="240" w:lineRule="auto"/>
      </w:pPr>
      <w:r>
        <w:separator/>
      </w:r>
    </w:p>
  </w:endnote>
  <w:endnote w:type="continuationSeparator" w:id="0">
    <w:p w14:paraId="63643F97" w14:textId="77777777" w:rsidR="0052513C" w:rsidRDefault="0052513C" w:rsidP="005C3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072079"/>
      <w:docPartObj>
        <w:docPartGallery w:val="Page Numbers (Bottom of Page)"/>
        <w:docPartUnique/>
      </w:docPartObj>
    </w:sdtPr>
    <w:sdtEndPr/>
    <w:sdtContent>
      <w:p w14:paraId="2319B913" w14:textId="52AF53A4" w:rsidR="005C3548" w:rsidRDefault="005C3548">
        <w:pPr>
          <w:pStyle w:val="Pieddepage"/>
          <w:jc w:val="right"/>
        </w:pPr>
        <w:r>
          <w:fldChar w:fldCharType="begin"/>
        </w:r>
        <w:r>
          <w:instrText>PAGE   \* MERGEFORMAT</w:instrText>
        </w:r>
        <w:r>
          <w:fldChar w:fldCharType="separate"/>
        </w:r>
        <w:r>
          <w:t>2</w:t>
        </w:r>
        <w:r>
          <w:fldChar w:fldCharType="end"/>
        </w:r>
      </w:p>
    </w:sdtContent>
  </w:sdt>
  <w:p w14:paraId="0AF8C0F2" w14:textId="77777777" w:rsidR="005C3548" w:rsidRDefault="005C35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7ABE9" w14:textId="77777777" w:rsidR="0052513C" w:rsidRDefault="0052513C" w:rsidP="005C3548">
      <w:pPr>
        <w:spacing w:after="0" w:line="240" w:lineRule="auto"/>
      </w:pPr>
      <w:r>
        <w:separator/>
      </w:r>
    </w:p>
  </w:footnote>
  <w:footnote w:type="continuationSeparator" w:id="0">
    <w:p w14:paraId="011D0833" w14:textId="77777777" w:rsidR="0052513C" w:rsidRDefault="0052513C" w:rsidP="005C35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DB971" w14:textId="2026B158" w:rsidR="005C3548" w:rsidRPr="005C3548" w:rsidRDefault="005C3548">
    <w:pPr>
      <w:pStyle w:val="En-tte"/>
      <w:rPr>
        <w:i/>
        <w:sz w:val="18"/>
        <w:szCs w:val="18"/>
      </w:rPr>
    </w:pPr>
    <w:r w:rsidRPr="005C3548">
      <w:rPr>
        <w:i/>
        <w:sz w:val="18"/>
        <w:szCs w:val="18"/>
      </w:rPr>
      <w:t>Sécheresses, étiages et déficits en eau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92AFE"/>
    <w:multiLevelType w:val="hybridMultilevel"/>
    <w:tmpl w:val="62362490"/>
    <w:lvl w:ilvl="0" w:tplc="94AAA7E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D4A5BFF"/>
    <w:multiLevelType w:val="hybridMultilevel"/>
    <w:tmpl w:val="F95244F8"/>
    <w:lvl w:ilvl="0" w:tplc="9342DAD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8E"/>
    <w:rsid w:val="00015A08"/>
    <w:rsid w:val="00036169"/>
    <w:rsid w:val="0008296A"/>
    <w:rsid w:val="000841B3"/>
    <w:rsid w:val="000A0653"/>
    <w:rsid w:val="000A7AF8"/>
    <w:rsid w:val="000D42E8"/>
    <w:rsid w:val="000D6B30"/>
    <w:rsid w:val="00103E30"/>
    <w:rsid w:val="00117C80"/>
    <w:rsid w:val="00127443"/>
    <w:rsid w:val="00150709"/>
    <w:rsid w:val="00184BDC"/>
    <w:rsid w:val="00184E20"/>
    <w:rsid w:val="001970DA"/>
    <w:rsid w:val="001B1885"/>
    <w:rsid w:val="001E0FC7"/>
    <w:rsid w:val="001E7318"/>
    <w:rsid w:val="001F1C20"/>
    <w:rsid w:val="00204A04"/>
    <w:rsid w:val="002120DA"/>
    <w:rsid w:val="00240E9B"/>
    <w:rsid w:val="00262BD6"/>
    <w:rsid w:val="002B5E67"/>
    <w:rsid w:val="002C70EF"/>
    <w:rsid w:val="002D6B6E"/>
    <w:rsid w:val="002E5453"/>
    <w:rsid w:val="00304479"/>
    <w:rsid w:val="00320D24"/>
    <w:rsid w:val="00322DFF"/>
    <w:rsid w:val="00332928"/>
    <w:rsid w:val="003330B8"/>
    <w:rsid w:val="00337D69"/>
    <w:rsid w:val="00347F08"/>
    <w:rsid w:val="0037607A"/>
    <w:rsid w:val="00384039"/>
    <w:rsid w:val="00396A01"/>
    <w:rsid w:val="003B6C57"/>
    <w:rsid w:val="003B735F"/>
    <w:rsid w:val="003C4B2B"/>
    <w:rsid w:val="003F7569"/>
    <w:rsid w:val="00401051"/>
    <w:rsid w:val="00407DDA"/>
    <w:rsid w:val="004154BD"/>
    <w:rsid w:val="00431E46"/>
    <w:rsid w:val="004653E8"/>
    <w:rsid w:val="0048466D"/>
    <w:rsid w:val="00485EFE"/>
    <w:rsid w:val="004A7C64"/>
    <w:rsid w:val="004B41A0"/>
    <w:rsid w:val="004C2D67"/>
    <w:rsid w:val="004E0071"/>
    <w:rsid w:val="00500592"/>
    <w:rsid w:val="00500C93"/>
    <w:rsid w:val="0052513C"/>
    <w:rsid w:val="00533FD5"/>
    <w:rsid w:val="0053667B"/>
    <w:rsid w:val="0058088E"/>
    <w:rsid w:val="00596208"/>
    <w:rsid w:val="005C3548"/>
    <w:rsid w:val="005C3EC9"/>
    <w:rsid w:val="005C5A62"/>
    <w:rsid w:val="006135BB"/>
    <w:rsid w:val="00631DB6"/>
    <w:rsid w:val="00646531"/>
    <w:rsid w:val="006559FD"/>
    <w:rsid w:val="00666DD1"/>
    <w:rsid w:val="006701A8"/>
    <w:rsid w:val="006D0990"/>
    <w:rsid w:val="006D78A4"/>
    <w:rsid w:val="006E0CBD"/>
    <w:rsid w:val="006F2E60"/>
    <w:rsid w:val="007526CB"/>
    <w:rsid w:val="00762B7D"/>
    <w:rsid w:val="0076454A"/>
    <w:rsid w:val="007868E4"/>
    <w:rsid w:val="00787575"/>
    <w:rsid w:val="007A4F32"/>
    <w:rsid w:val="007C4471"/>
    <w:rsid w:val="007C532A"/>
    <w:rsid w:val="007D1612"/>
    <w:rsid w:val="00815E8F"/>
    <w:rsid w:val="00860B63"/>
    <w:rsid w:val="00871285"/>
    <w:rsid w:val="00874695"/>
    <w:rsid w:val="008A30C9"/>
    <w:rsid w:val="008B4B88"/>
    <w:rsid w:val="008D0486"/>
    <w:rsid w:val="008F0058"/>
    <w:rsid w:val="008F71EB"/>
    <w:rsid w:val="00901884"/>
    <w:rsid w:val="00902A4D"/>
    <w:rsid w:val="00934BC7"/>
    <w:rsid w:val="00943DEA"/>
    <w:rsid w:val="009479C9"/>
    <w:rsid w:val="00956505"/>
    <w:rsid w:val="00973C51"/>
    <w:rsid w:val="00994314"/>
    <w:rsid w:val="009B62F8"/>
    <w:rsid w:val="009D3589"/>
    <w:rsid w:val="009D479C"/>
    <w:rsid w:val="009D587A"/>
    <w:rsid w:val="009E5B28"/>
    <w:rsid w:val="00A0163E"/>
    <w:rsid w:val="00A4017E"/>
    <w:rsid w:val="00A645C4"/>
    <w:rsid w:val="00A8062E"/>
    <w:rsid w:val="00AA345D"/>
    <w:rsid w:val="00AA453E"/>
    <w:rsid w:val="00AE125D"/>
    <w:rsid w:val="00AE4BA3"/>
    <w:rsid w:val="00B11A49"/>
    <w:rsid w:val="00B411AE"/>
    <w:rsid w:val="00B70867"/>
    <w:rsid w:val="00B757F8"/>
    <w:rsid w:val="00BE03F5"/>
    <w:rsid w:val="00BE2475"/>
    <w:rsid w:val="00BE4400"/>
    <w:rsid w:val="00BE71A8"/>
    <w:rsid w:val="00C179EC"/>
    <w:rsid w:val="00C6001D"/>
    <w:rsid w:val="00CA1F79"/>
    <w:rsid w:val="00CC2209"/>
    <w:rsid w:val="00CE60D4"/>
    <w:rsid w:val="00D076FD"/>
    <w:rsid w:val="00D91349"/>
    <w:rsid w:val="00D91472"/>
    <w:rsid w:val="00DB0EC1"/>
    <w:rsid w:val="00DC30F8"/>
    <w:rsid w:val="00DC5DE6"/>
    <w:rsid w:val="00DD3773"/>
    <w:rsid w:val="00E515A2"/>
    <w:rsid w:val="00E5193F"/>
    <w:rsid w:val="00E51EC6"/>
    <w:rsid w:val="00E5785B"/>
    <w:rsid w:val="00E66A64"/>
    <w:rsid w:val="00E8326F"/>
    <w:rsid w:val="00EA4DE7"/>
    <w:rsid w:val="00EA7033"/>
    <w:rsid w:val="00EE2E2F"/>
    <w:rsid w:val="00F0524B"/>
    <w:rsid w:val="00F203AD"/>
    <w:rsid w:val="00F352D8"/>
    <w:rsid w:val="00F52777"/>
    <w:rsid w:val="00F73390"/>
    <w:rsid w:val="00F91676"/>
    <w:rsid w:val="00FB033C"/>
    <w:rsid w:val="00FB2BD1"/>
    <w:rsid w:val="00FB720F"/>
    <w:rsid w:val="00FD4B14"/>
    <w:rsid w:val="00FD79F3"/>
    <w:rsid w:val="00FF5C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1B3AF3"/>
  <w15:docId w15:val="{4D6CAACF-F3C9-4121-AE31-795C4BA9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0486"/>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2B5E67"/>
    <w:pPr>
      <w:ind w:left="720"/>
      <w:contextualSpacing/>
    </w:pPr>
  </w:style>
  <w:style w:type="paragraph" w:styleId="Textedebulles">
    <w:name w:val="Balloon Text"/>
    <w:basedOn w:val="Normal"/>
    <w:link w:val="TextedebullesCar"/>
    <w:uiPriority w:val="99"/>
    <w:semiHidden/>
    <w:rsid w:val="007868E4"/>
    <w:rPr>
      <w:rFonts w:ascii="Tahoma" w:hAnsi="Tahoma" w:cs="Tahoma"/>
      <w:sz w:val="16"/>
      <w:szCs w:val="16"/>
    </w:rPr>
  </w:style>
  <w:style w:type="character" w:customStyle="1" w:styleId="TextedebullesCar">
    <w:name w:val="Texte de bulles Car"/>
    <w:basedOn w:val="Policepardfaut"/>
    <w:link w:val="Textedebulles"/>
    <w:uiPriority w:val="99"/>
    <w:semiHidden/>
    <w:rsid w:val="00E37A3B"/>
    <w:rPr>
      <w:rFonts w:ascii="Times New Roman" w:hAnsi="Times New Roman"/>
      <w:sz w:val="0"/>
      <w:szCs w:val="0"/>
      <w:lang w:eastAsia="en-US"/>
    </w:rPr>
  </w:style>
  <w:style w:type="character" w:styleId="Marquedecommentaire">
    <w:name w:val="annotation reference"/>
    <w:basedOn w:val="Policepardfaut"/>
    <w:uiPriority w:val="99"/>
    <w:semiHidden/>
    <w:rsid w:val="00204A04"/>
    <w:rPr>
      <w:rFonts w:cs="Times New Roman"/>
      <w:sz w:val="16"/>
      <w:szCs w:val="16"/>
    </w:rPr>
  </w:style>
  <w:style w:type="paragraph" w:styleId="Commentaire">
    <w:name w:val="annotation text"/>
    <w:basedOn w:val="Normal"/>
    <w:link w:val="CommentaireCar"/>
    <w:uiPriority w:val="99"/>
    <w:semiHidden/>
    <w:rsid w:val="00204A04"/>
    <w:rPr>
      <w:sz w:val="20"/>
      <w:szCs w:val="20"/>
    </w:rPr>
  </w:style>
  <w:style w:type="character" w:customStyle="1" w:styleId="CommentaireCar">
    <w:name w:val="Commentaire Car"/>
    <w:basedOn w:val="Policepardfaut"/>
    <w:link w:val="Commentaire"/>
    <w:uiPriority w:val="99"/>
    <w:semiHidden/>
    <w:rsid w:val="00E37A3B"/>
    <w:rPr>
      <w:sz w:val="20"/>
      <w:szCs w:val="20"/>
      <w:lang w:eastAsia="en-US"/>
    </w:rPr>
  </w:style>
  <w:style w:type="paragraph" w:styleId="Objetducommentaire">
    <w:name w:val="annotation subject"/>
    <w:basedOn w:val="Commentaire"/>
    <w:next w:val="Commentaire"/>
    <w:link w:val="ObjetducommentaireCar"/>
    <w:uiPriority w:val="99"/>
    <w:semiHidden/>
    <w:rsid w:val="00204A04"/>
    <w:rPr>
      <w:b/>
      <w:bCs/>
    </w:rPr>
  </w:style>
  <w:style w:type="character" w:customStyle="1" w:styleId="ObjetducommentaireCar">
    <w:name w:val="Objet du commentaire Car"/>
    <w:basedOn w:val="CommentaireCar"/>
    <w:link w:val="Objetducommentaire"/>
    <w:uiPriority w:val="99"/>
    <w:semiHidden/>
    <w:rsid w:val="00E37A3B"/>
    <w:rPr>
      <w:b/>
      <w:bCs/>
      <w:sz w:val="20"/>
      <w:szCs w:val="20"/>
      <w:lang w:eastAsia="en-US"/>
    </w:rPr>
  </w:style>
  <w:style w:type="paragraph" w:styleId="Sansinterligne">
    <w:name w:val="No Spacing"/>
    <w:uiPriority w:val="1"/>
    <w:qFormat/>
    <w:rsid w:val="00322DFF"/>
    <w:rPr>
      <w:lang w:eastAsia="en-US"/>
    </w:rPr>
  </w:style>
  <w:style w:type="paragraph" w:styleId="En-tte">
    <w:name w:val="header"/>
    <w:basedOn w:val="Normal"/>
    <w:link w:val="En-tteCar"/>
    <w:uiPriority w:val="99"/>
    <w:unhideWhenUsed/>
    <w:rsid w:val="005C3548"/>
    <w:pPr>
      <w:tabs>
        <w:tab w:val="center" w:pos="4536"/>
        <w:tab w:val="right" w:pos="9072"/>
      </w:tabs>
      <w:spacing w:after="0" w:line="240" w:lineRule="auto"/>
    </w:pPr>
  </w:style>
  <w:style w:type="character" w:customStyle="1" w:styleId="En-tteCar">
    <w:name w:val="En-tête Car"/>
    <w:basedOn w:val="Policepardfaut"/>
    <w:link w:val="En-tte"/>
    <w:uiPriority w:val="99"/>
    <w:rsid w:val="005C3548"/>
    <w:rPr>
      <w:lang w:eastAsia="en-US"/>
    </w:rPr>
  </w:style>
  <w:style w:type="paragraph" w:styleId="Pieddepage">
    <w:name w:val="footer"/>
    <w:basedOn w:val="Normal"/>
    <w:link w:val="PieddepageCar"/>
    <w:uiPriority w:val="99"/>
    <w:unhideWhenUsed/>
    <w:rsid w:val="005C3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3548"/>
    <w:rPr>
      <w:lang w:eastAsia="en-US"/>
    </w:rPr>
  </w:style>
  <w:style w:type="character" w:styleId="Lienhypertexte">
    <w:name w:val="Hyperlink"/>
    <w:basedOn w:val="Policepardfaut"/>
    <w:uiPriority w:val="99"/>
    <w:unhideWhenUsed/>
    <w:rsid w:val="0076454A"/>
    <w:rPr>
      <w:color w:val="0000FF" w:themeColor="hyperlink"/>
      <w:u w:val="single"/>
    </w:rPr>
  </w:style>
  <w:style w:type="character" w:styleId="Mentionnonrsolue">
    <w:name w:val="Unresolved Mention"/>
    <w:basedOn w:val="Policepardfaut"/>
    <w:uiPriority w:val="99"/>
    <w:semiHidden/>
    <w:unhideWhenUsed/>
    <w:rsid w:val="00764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echeresse@shf-hydro.or" TargetMode="External"/><Relationship Id="rId18" Type="http://schemas.openxmlformats.org/officeDocument/2006/relationships/image" Target="media/image9.jpg"/><Relationship Id="rId26" Type="http://schemas.openxmlformats.org/officeDocument/2006/relationships/image" Target="media/image17.gif"/><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gi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1606</Words>
  <Characters>8839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SHF        PFE       PHI</vt:lpstr>
    </vt:vector>
  </TitlesOfParts>
  <Company>Hewlett-Packard</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SHF        PFE       PHI</dc:title>
  <dc:creator>Daniel</dc:creator>
  <cp:lastModifiedBy>Céline Lestievent</cp:lastModifiedBy>
  <cp:revision>2</cp:revision>
  <cp:lastPrinted>2018-07-10T10:07:00Z</cp:lastPrinted>
  <dcterms:created xsi:type="dcterms:W3CDTF">2018-12-14T13:56:00Z</dcterms:created>
  <dcterms:modified xsi:type="dcterms:W3CDTF">2018-12-14T13:56:00Z</dcterms:modified>
</cp:coreProperties>
</file>